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 w:firstLine="6"/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Додаток 1  </w:t>
      </w:r>
      <w:r>
        <w:rPr>
          <w:sz w:val="28"/>
        </w:rPr>
      </w:r>
      <w:r/>
    </w:p>
    <w:p>
      <w:pPr>
        <w:ind w:left="5387" w:firstLine="6"/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рішення 48 сесії Менської міської ради 8 скликання </w:t>
      </w:r>
      <w:r>
        <w:rPr>
          <w:sz w:val="28"/>
        </w:rPr>
      </w:r>
      <w:r/>
    </w:p>
    <w:p>
      <w:pPr>
        <w:ind w:left="5387" w:firstLine="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трав</w:t>
      </w:r>
      <w:r>
        <w:rPr>
          <w:rFonts w:ascii="Times New Roman" w:hAnsi="Times New Roman" w:cs="Times New Roman"/>
          <w:sz w:val="28"/>
          <w:szCs w:val="24"/>
        </w:rPr>
        <w:t xml:space="preserve">ня 2024 року №293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СТАВКИ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br/>
        <w:t xml:space="preserve">орендної плати за земельні ділянки 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території територіальних громад, на які поширюється дія рішення ради: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tbl>
      <w:tblPr>
        <w:tblW w:w="4800" w:type="pct"/>
        <w:tblInd w:w="15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309"/>
        <w:gridCol w:w="2312"/>
        <w:gridCol w:w="2594"/>
      </w:tblGrid>
      <w:tr>
        <w:trPr>
          <w:trHeight w:val="9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lang w:eastAsia="uk-UA"/>
              </w:rPr>
              <w:t xml:space="preserve">Код області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lang w:eastAsia="uk-UA"/>
              </w:rPr>
              <w:t xml:space="preserve">Код району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lang w:eastAsia="uk-UA"/>
              </w:rPr>
              <w:t xml:space="preserve">Код території територіальних громад в областях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lang w:eastAsia="uk-UA"/>
              </w:rPr>
              <w:t xml:space="preserve">Найменування територіальної громади</w:t>
            </w:r>
            <w:r/>
          </w:p>
        </w:tc>
      </w:tr>
      <w:tr>
        <w:trPr>
          <w:trHeight w:val="5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UA74000000000025378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UA74020000000089267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UA74020030000069340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Менська міська територіальна громада</w:t>
            </w:r>
            <w:r/>
          </w:p>
        </w:tc>
      </w:tr>
    </w:tbl>
    <w:p>
      <w:pPr>
        <w:ind w:left="450" w:right="45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2" w:type="dxa"/>
          <w:top w:w="12" w:type="dxa"/>
          <w:right w:w="12" w:type="dxa"/>
          <w:bottom w:w="12" w:type="dxa"/>
        </w:tblCellMar>
        <w:tblLook w:val="04A0" w:firstRow="1" w:lastRow="0" w:firstColumn="1" w:lastColumn="0" w:noHBand="0" w:noVBand="1"/>
      </w:tblPr>
      <w:tblGrid>
        <w:gridCol w:w="820"/>
        <w:gridCol w:w="1276"/>
        <w:gridCol w:w="3994"/>
        <w:gridCol w:w="1071"/>
        <w:gridCol w:w="1021"/>
        <w:gridCol w:w="1763"/>
      </w:tblGrid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/>
            <w:bookmarkStart w:id="1" w:name="n602"/>
            <w:r/>
            <w:bookmarkEnd w:id="1"/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Код виду цільового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Назва виду цільового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Код згідно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з </w:t>
            </w:r>
            <w:hyperlink r:id="rId15" w:tooltip="https://zakon.rada.gov.ua/laws/show/v1205219-98" w:history="1">
              <w:r>
                <w:rPr>
                  <w:rStyle w:val="896"/>
                  <w:rFonts w:ascii="Times New Roman" w:hAnsi="Times New Roman" w:cs="Times New Roman" w:eastAsia="Times New Roman"/>
                  <w:color w:val="000000" w:themeColor="text1"/>
                  <w:sz w:val="18"/>
                  <w:szCs w:val="24"/>
                  <w:lang w:eastAsia="uk-UA"/>
                </w:rPr>
                <w:t xml:space="preserve">УКЦ</w:t>
              </w:r>
              <w:r>
                <w:rPr>
                  <w:rStyle w:val="896"/>
                  <w:rFonts w:ascii="Times New Roman" w:hAnsi="Times New Roman" w:cs="Times New Roman" w:eastAsia="Times New Roman"/>
                  <w:color w:val="000000" w:themeColor="text1"/>
                  <w:sz w:val="18"/>
                  <w:szCs w:val="24"/>
                  <w:lang w:eastAsia="uk-UA"/>
                </w:rPr>
                <w:t xml:space="preserve">ВЗ</w:t>
              </w:r>
            </w:hyperlink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Код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згідно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з </w:t>
            </w:r>
            <w:hyperlink r:id="rId16" w:tooltip="https://zakon.rada.gov.ua/laws/show/z1011-10" w:history="1">
              <w:r>
                <w:rPr>
                  <w:rStyle w:val="896"/>
                  <w:rFonts w:ascii="Times New Roman" w:hAnsi="Times New Roman" w:cs="Times New Roman" w:eastAsia="Times New Roman"/>
                  <w:color w:val="000000" w:themeColor="text1"/>
                  <w:sz w:val="18"/>
                  <w:szCs w:val="24"/>
                  <w:lang w:eastAsia="uk-UA"/>
                </w:rPr>
                <w:t xml:space="preserve">КВЦ</w:t>
              </w:r>
              <w:r>
                <w:rPr>
                  <w:rStyle w:val="896"/>
                  <w:rFonts w:ascii="Times New Roman" w:hAnsi="Times New Roman" w:cs="Times New Roman" w:eastAsia="Times New Roman"/>
                  <w:color w:val="000000" w:themeColor="text1"/>
                  <w:sz w:val="18"/>
                  <w:szCs w:val="24"/>
                  <w:lang w:eastAsia="uk-UA"/>
                </w:rPr>
                <w:t xml:space="preserve">ПЗ</w:t>
              </w:r>
            </w:hyperlink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18"/>
                <w:szCs w:val="24"/>
                <w:lang w:eastAsia="uk-UA"/>
              </w:rPr>
              <w:t xml:space="preserve">Ставки орендної плати (відсотків нормативної грошової оцінки) за земельні ділянки комунальної власності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 w:themeColor="text1"/>
                <w:sz w:val="18"/>
                <w:szCs w:val="24"/>
                <w:lang w:eastAsia="uk-UA"/>
              </w:rPr>
              <w:t xml:space="preserve">(незалежно від місця знаходження)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розділ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4"/>
                <w:lang w:eastAsia="uk-UA"/>
              </w:rPr>
              <w:t xml:space="preserve">підрозділ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2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24"/>
                <w:lang w:eastAsia="uk-UA"/>
              </w:rPr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сільськогосподарського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01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сільськогосподарського призначення (земельні ділянки, надані для виробництва сільськогосподарської продукції, здійснення сільськогосподарської науково-дослідної та навчальної діяльності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цілей; земельні ділянки, надані для діяльності у сфері надання послуг у сільському господарстві, та інше)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ведення товарного сільськогосподарського виробництва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1.1; 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ведення фермерського господарства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1.5; 2.5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ведення особистого селянського господарства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1.2; 2.2; 2.4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ведення підсобного сільського господарства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1.4; 2.2; 2.4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індивідуального садівництва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1.2; 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колективного садівництва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1.2; 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городництва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1.2; 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сінокосіння і випасання худоби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1.2; 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дослідних і навчальних цілей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1.3; 2.3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пропаганди передового досвіду ведення сільського господарства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1.3; 2.3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надання послуг у сільському господарстві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1.6; 2.6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інфраструктури оптових ринків сільськогосподарської продукції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іншого сільськогосподарського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1.7; 2.7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01.01-01.13, 01.15-01.19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01.14;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під сільськогосподарськими будівлями і дворами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під полезахисними лісовими смугами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громадянами чи юридичними особами)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які використовуються як польові дороги, прогони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01.19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під громадськими сіножатями та громадськими пасовищами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житлової та громадської забудови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02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житлової забудови (земельні ділянки, які використовуються для розміщення житлової забудови (житлові будинки, гуртожитки, господарські будівлі та інше); земельні ділянки, які використовуються для розміщення гаражного будівництва)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і обслуговування житлового будинку, господарських будівель і споруд (присадибна ділянка)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колективного житлового будівництва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і обслуговування багатоквартирного житлового будинку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>
          <w:trHeight w:val="4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і обслуговування будівель тимчасового проживання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індивідуальних гаражів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колективного гаражного будівництва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іншої житлової забудови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1.13.1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02.01-02.07, 02.09-02.12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02.08;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і обслуговування паркінгів та автостоянок на землях житлової та громадської забудови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які використовуються як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внутрішньоквартальні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проїзди, пішохідні зони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03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громадської забудови (земельні ділянки, які використовуються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дослідних закладів, для лікарень та оздоровчих закладів), інших об’єктів загального користування)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органів державної влади та органів місцевого самоврядування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закладів освіти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закладів охорони здоров’я та соціальної допомоги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громадських та релігійних організацій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закладів культурно-просвітницького обслуговування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екстериторіальних організацій та органів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торгівлі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1.11; 1.11.2; 1.11.3; 1.13.4; 1.11.6; 1.21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об’єктів туристичної інфраструктури та закладів громадського харчування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кредитно-фінансових установ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1.11; 1.11.1; 1.11.3; 1.11.4; 1.11.5; 1.11.6; 1.12; 1.12.7; 1.12.9; 1.13.2; 1.13.3; 1.13.4; 1.21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і споруд закладів науки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1.11.5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закладів комунального обслуговування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будівель закладів побутового обслуговування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органів і підрозділів ДСНС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інших будівель громадської забудови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1.11.5; 1.12.9;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03.01-03.15, 03.17-03.20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03.16;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закладів з обслуговування відвідувачів об’єктів рекреаційного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1.6; 1.11; 1.11.3; 1.11.6; 1.17; 2.6; 4.3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установ/місць виконання покарань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03.20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які використовуються як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внутрішньоквартальні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проїзди, пішохідні зони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природно-заповідного фонду та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br/>
              <w:t xml:space="preserve">іншого природоохоронного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04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природно-заповідного фонду (природні території 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об’єкти (природні заповідники, національні природні парки, біосферні заповідники, регіональні ландшафтні парки, заказники, пам’ятки природи, заповідні урочища), а також штучно створені об’єкти (ботанічні сади, дендрологічні парки, зоологічні парки, парки-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пам’ятки садово-паркового мистецтва), що надаються в постійне користування спеціальним адміністраціям територій та об’єктів природно-заповідного фонду (крім земельних ділянок під об’єктами природно-заповідного фонду, що включені до їх складу без вилучення)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біосферних заповідників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природних заповідників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національних природних парків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ботанічних садів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зоологічних парків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дендрологічних парків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парків-пам’яток садово-паркового мистецтва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заказників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заповідних урочищ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пам’яток природи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 та використання регіональних ландшафтних парків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05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іншого природоохоронного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ділянки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05.00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05.02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оздоровчого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06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оздоровчого призначення (земельні ділянки,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і обслуговування санаторно-оздоровчих закладів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4.2; 1.16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розробки родовищ природних лікувальних ресурсів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4.2; 1.16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інших оздоровчих цілей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4.2; 1.16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06.01-06.03, 06.05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06.04;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06.05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рекреаційного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07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рекреаційного призначення (земельні ділянки зелених зон і зелених насаджень міст та інших 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аселених пунктів, навчально-туристських та екологічних стежок, маркованих трас, земельні ділянки, зайняті територіями будинків відпочинку, пансіонатів, об’єктів фізичної культури і спорту, туристичних баз, кемпінгів, яхт-клубів, стаціонарних і наметових 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ристично-оздоровчих таборів, будинків рибалок і мисливців, дитячих туристичних станцій, дитячих та спортивних таборів, інших аналогічних об’єктів, а також земельні ділянки, надані для дачного будівництва і спорудження інших об’єктів стаціонарної рекреації)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об’єктів рекреаційного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4.3; 1.17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обслуговування об’єктів фізичної культури і 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4.3; 1.17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індивідуального дачного будівництва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1.8; 4.3; 1.17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колективного дачного будівництва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1.8; 4.3; 1.17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07.01-07.04, 07.06-07.09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07.05;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збереження, використання та відтворення зелених зон і зелених насаджень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які використовуються як зелені насадження загального користування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07.09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 відведені під місця поховання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історико-культурного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08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історико-культурного 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значення (земельні ділянки, на яких розташовані: пам’ятки культурної спадщини, їх комплекси (ансамблі), історико-культурні заповідники, історико-культурні заповідні території, охоронювані археологічні території, музеї просто неба, меморіальні музеї-садиби)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забезпечення охорони об’єктів культурної спадщини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4.4; 1.18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обслуговування музейних закладів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4.4; 1.18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іншого історико-культурного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4.4; 1.18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08.01-08.03, 08.05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08.04;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08.05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лісогосподарського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09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лісогосподарського призначення (земельні ділянки, вкриті лісовою рослинністю, а також не вкриті лісовою рослинністю, нелісові земельні ділянки, які надані та використовуються для потреб лісового господарства, крім земел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ьних ділянок, зайнятих зеленими насадженнями у межах населених пунктів, які не віднесені до категорії лісів, а також земельних ділянок, зайнятих окремими деревами і групами дерев, чагарниками на сільськогосподарських угіддях, присадибних, дачних і садових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ділянках)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ведення лісового господарства і пов’язаних з ним послуг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5.1; 1.19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іншого лісогосподарського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5.1; 1.19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09.01-09.02, 09.04-09.05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5.1; 1.19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09.03;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5.1; 1.19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09.05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водного фонду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водного фонду (земельні ділянки, зайняті морями, річками, озерами, водосховищами, іншими водними об’єктами, болотами, а також островами, не зайнятими лісами; прибереж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ними захисними смугами вздовж морів, річок та навколо водойм, крім земель, зайнятих лісами; гідротехнічними, іншими водогосподарськими спорудами та каналами, а також земельні ділянки, виділені під смуги відведення для них; береговими смугами водних шляхів)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експлуатації та догляду за водними об’єктами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облаштування та догляду за прибережними захисними смугами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експлуатації та догляду за смугами відведення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експлуатації та догляду за гідротехнічними, іншими водогосподарськими спорудами і каналами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6.1; 1.20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догляду за береговими смугами водних шляхів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сінокосіння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1.2; 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рибогосподарських потреб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культурно-оздоровчих потреб, рекреаційних, спортивних і туристичних цілей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проведення науково-дослідних робіт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експлуатації гідротехнічних, гідрометричних та лінійних споруд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6.1; 1.20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1.16; 4.2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10.01-10.11,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10.13-10.16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10.12;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Водні об’єкти загального користування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під пляжами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10.16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під громадськими сіножатями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Категорія: землі промисловості, транспорту, зв’язку,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br/>
              <w:t xml:space="preserve">енергетики, оборони та іншого призначення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11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промисловості (земел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ьні ділянки, надані для розміщення та експлуатації основних, підсобних і допоміжних будівель та споруд промислових, гірничодобувних, транспортних та інших підприємств, їх під’їзних шляхів, інженерних мереж, адміністративно-побутових будівель, інших споруд)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1.10.1; 3.1.1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1.10; 1.10.2; 1.10.5; 1.13.1; 3.1; 3.1.2; 3.1.5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1.10.4; 3.1.4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1.10.5; 3.1.5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11.01-11.04, 11.06-11.08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11.05;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які використовуються як зелені насадження спеціального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користування, відведенні для цілей поводження з відходами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12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транспорту (земельні ділянки, надані підприємствам, установам та організаціям 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алізничного, автомобільного транспорту і дорожнього господарства, морського, річкового, авіаційного, трубопровідного транспорту та міського електротранспорту для виконання покладених на них завдань щодо експлуатації, ремонту і розвитку об’єктів транспорту)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залізничного 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1.14.1; 3.2.1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морського 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1.14.4; 3.2.4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річкового 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1.14.5; 3.2.5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автомобільного транспорту та дорожнього господарства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1.14.2; 3.2.2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авіаційного 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1.14.6; 3.2.6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об’єктів трубопровідного 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1.14.3; 3.2.3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міського електротранспорту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1.14.7, 1.14.8; 3.2.7; 3.2.8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додаткових транспортних послуг та допоміжних операцій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3.2.10; 1.14.10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і споруд іншого наземного 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1.14.10; 3.2.10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12.01-12.09, 12.11-12.13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12.10;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об’єктів дорожнього сервісу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1.14; 3.2.10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які використовуються як вулиці, майдани, проїзди, дороги, набережні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зв’язку (земельні ділянки, надані під повітряні і кабельні телефонно-телеграфні лінії та супутникові засоби зв’язку, а також підприємствам, установам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організаціям для здійснення відповідної діяльності)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об’єктів і споруд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телекомунікацій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1.14; 1.14.9; 3.2; 3.2.9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будівель та споруд об’єктів поштового зв’язку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1.14.9; 3.2; 3.2.9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експлуатації інших технічних засобів зв’язку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1.14; 1.14.9; 1.14.10; 3.2; 3.2.10; 3.4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13.01-13.03, 13.05-13.06 та для збереження і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1.14.9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13.04;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Державної служби спеціального зв’язку та захисту інформації України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11.14; 1.14.9;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13.06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енергетики (земельні ділянки, надані в установленому порядку для розміщення, будівництва і експлуатації та обслуговування об’єктів енергогенеруючих підприємств, установ і організацій (атомні, теплові,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гідро-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гідроакумулюючі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електростанції, теплоелектроцентралі, котельні), об’єктів альтернативної енергетики (електростанції з використанням енергії вітру, сонця та інших джерел), об’єктів переда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чі електричної та теплової енергії (повітряні та кабельні лінії електропередачі, трансформаторні підстанції, розподільні пункти та пристрої, теплові мережі), виробничих об’єктів, необхідних для експлуатації об’єктів енергетики, в тому числі баз та пунктів)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1.10.3; 3.1.3;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розміщення, будівництва, експлуатації та обслуговування будівель і споруд об’єктів передачі електричної енергії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1.10.3; 3.1.3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14.01-14.02, 14.04-14.06 та для збереження та використання земель природно-заповідного фонду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14.03;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запасу (земельні ділянки, які не надані у власність або користування громадянам чи юридичним особам)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16.00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які використовуються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як зелені насадження спеціального призначення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14.06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загального користування, відведені для цілей поводження з відходами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18.00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15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Земельні ділянки оборони (земельні ділянки, надані для розміщення і постійної діяльності військових частин, установ, військово-навчальних закладів, підприємств та організацій Збройних Сил, інших військових формувань, утворених відповідно до законодавства)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Збройних Сил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Національної гвардії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Державної прикордонної служби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Служби безпеки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Державної спеціальної служби транспорту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Служби зовнішньої розвідки України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інших, створених відповідно до законів, військових формувань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цілей підрозділів 15.01-15.07, 15.09-15.11 та для збереження та використання земель природно-заповідного фонд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15.08; 19.00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1.12.2; 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15.11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3%</w:t>
            </w:r>
            <w:r/>
          </w:p>
        </w:tc>
      </w:tr>
    </w:tbl>
    <w:p>
      <w:pPr>
        <w:ind w:left="0" w:right="0" w:firstLine="0"/>
        <w:spacing w:after="0"/>
        <w:tabs>
          <w:tab w:val="left" w:pos="4962" w:leader="none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Оксана СКИРТА</w:t>
      </w:r>
      <w:r>
        <w:rPr>
          <w:rFonts w:ascii="Calibri" w:hAnsi="Calibri" w:cs="Calibri" w:eastAsia="Calibri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568" w:left="1418" w:header="568" w:footer="68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74121738"/>
      <w:docPartObj>
        <w:docPartGallery w:val="Page Numbers (Top of Page)"/>
        <w:docPartUnique w:val="true"/>
      </w:docPartObj>
      <w:rPr/>
    </w:sdtPr>
    <w:sdtContent>
      <w:p>
        <w:pPr>
          <w:pStyle w:val="921"/>
          <w:ind w:left="3828"/>
          <w:jc w:val="center"/>
          <w:rPr>
            <w:i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11</w:t>
        </w:r>
        <w:r>
          <w:fldChar w:fldCharType="end"/>
        </w:r>
        <w:r>
          <w:tab/>
        </w:r>
        <w:r>
          <w:tab/>
        </w:r>
        <w:r>
          <w:rPr>
            <w:i/>
          </w:rPr>
          <w:t xml:space="preserve">продовження додатку</w:t>
        </w:r>
        <w:r/>
      </w:p>
    </w:sdtContent>
  </w:sdt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/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0"/>
  </w:num>
  <w:num w:numId="5">
    <w:abstractNumId w:val="0"/>
  </w:num>
  <w:num w:numId="6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"/>
  </w:num>
  <w:num w:numId="23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 w:default="1">
    <w:name w:val="Normal"/>
    <w:qFormat/>
  </w:style>
  <w:style w:type="paragraph" w:styleId="722">
    <w:name w:val="Heading 1"/>
    <w:basedOn w:val="721"/>
    <w:next w:val="721"/>
    <w:link w:val="923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723">
    <w:name w:val="Heading 2"/>
    <w:basedOn w:val="721"/>
    <w:next w:val="721"/>
    <w:link w:val="924"/>
    <w:qFormat/>
    <w:uiPriority w:val="9"/>
    <w:semiHidden/>
    <w:unhideWhenUsed/>
    <w:rPr>
      <w:rFonts w:ascii="Arial" w:hAnsi="Arial" w:cs="Arial" w:eastAsia="Arial"/>
      <w:sz w:val="34"/>
    </w:rPr>
    <w:pPr>
      <w:keepLines/>
      <w:keepNext/>
      <w:spacing w:lineRule="auto" w:line="256" w:after="200" w:before="360"/>
      <w:outlineLvl w:val="1"/>
    </w:pPr>
  </w:style>
  <w:style w:type="paragraph" w:styleId="724">
    <w:name w:val="Heading 3"/>
    <w:basedOn w:val="721"/>
    <w:next w:val="721"/>
    <w:link w:val="925"/>
    <w:qFormat/>
    <w:uiPriority w:val="9"/>
    <w:semiHidden/>
    <w:unhideWhenUsed/>
    <w:rPr>
      <w:rFonts w:ascii="Arial" w:hAnsi="Arial" w:cs="Arial" w:eastAsia="Arial"/>
      <w:sz w:val="30"/>
      <w:szCs w:val="30"/>
    </w:rPr>
    <w:pPr>
      <w:keepLines/>
      <w:keepNext/>
      <w:spacing w:lineRule="auto" w:line="256" w:after="200" w:before="320"/>
      <w:outlineLvl w:val="2"/>
    </w:pPr>
  </w:style>
  <w:style w:type="paragraph" w:styleId="725">
    <w:name w:val="Heading 4"/>
    <w:basedOn w:val="721"/>
    <w:next w:val="721"/>
    <w:link w:val="926"/>
    <w:qFormat/>
    <w:uiPriority w:val="9"/>
    <w:semiHidden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lineRule="auto" w:line="256" w:after="200" w:before="320"/>
      <w:outlineLvl w:val="3"/>
    </w:pPr>
  </w:style>
  <w:style w:type="paragraph" w:styleId="726">
    <w:name w:val="Heading 5"/>
    <w:basedOn w:val="721"/>
    <w:next w:val="721"/>
    <w:link w:val="927"/>
    <w:qFormat/>
    <w:uiPriority w:val="9"/>
    <w:semiHidden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lineRule="auto" w:line="256" w:after="200" w:before="320"/>
      <w:outlineLvl w:val="4"/>
    </w:pPr>
  </w:style>
  <w:style w:type="paragraph" w:styleId="727">
    <w:name w:val="Heading 6"/>
    <w:basedOn w:val="721"/>
    <w:next w:val="721"/>
    <w:link w:val="928"/>
    <w:qFormat/>
    <w:uiPriority w:val="9"/>
    <w:semiHidden/>
    <w:unhideWhenUsed/>
    <w:rPr>
      <w:rFonts w:ascii="Arial" w:hAnsi="Arial" w:cs="Arial" w:eastAsia="Arial"/>
      <w:b/>
      <w:bCs/>
    </w:rPr>
    <w:pPr>
      <w:keepLines/>
      <w:keepNext/>
      <w:spacing w:lineRule="auto" w:line="256" w:after="200" w:before="320"/>
      <w:outlineLvl w:val="5"/>
    </w:pPr>
  </w:style>
  <w:style w:type="paragraph" w:styleId="728">
    <w:name w:val="Heading 7"/>
    <w:basedOn w:val="721"/>
    <w:next w:val="721"/>
    <w:link w:val="929"/>
    <w:qFormat/>
    <w:uiPriority w:val="9"/>
    <w:semiHidden/>
    <w:unhideWhenUsed/>
    <w:rPr>
      <w:rFonts w:ascii="Arial" w:hAnsi="Arial" w:cs="Arial" w:eastAsia="Arial"/>
      <w:b/>
      <w:bCs/>
      <w:i/>
      <w:iCs/>
    </w:rPr>
    <w:pPr>
      <w:keepLines/>
      <w:keepNext/>
      <w:spacing w:lineRule="auto" w:line="256" w:after="200" w:before="320"/>
      <w:outlineLvl w:val="6"/>
    </w:pPr>
  </w:style>
  <w:style w:type="paragraph" w:styleId="729">
    <w:name w:val="Heading 8"/>
    <w:basedOn w:val="721"/>
    <w:next w:val="721"/>
    <w:link w:val="930"/>
    <w:qFormat/>
    <w:uiPriority w:val="9"/>
    <w:semiHidden/>
    <w:unhideWhenUsed/>
    <w:rPr>
      <w:rFonts w:ascii="Arial" w:hAnsi="Arial" w:cs="Arial" w:eastAsia="Arial"/>
      <w:i/>
      <w:iCs/>
    </w:rPr>
    <w:pPr>
      <w:keepLines/>
      <w:keepNext/>
      <w:spacing w:lineRule="auto" w:line="256" w:after="200" w:before="320"/>
      <w:outlineLvl w:val="7"/>
    </w:pPr>
  </w:style>
  <w:style w:type="paragraph" w:styleId="730">
    <w:name w:val="Heading 9"/>
    <w:basedOn w:val="721"/>
    <w:next w:val="721"/>
    <w:link w:val="931"/>
    <w:qFormat/>
    <w:uiPriority w:val="9"/>
    <w:semiHidden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lineRule="auto" w:line="256"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Title Char"/>
    <w:basedOn w:val="731"/>
    <w:uiPriority w:val="10"/>
    <w:rPr>
      <w:sz w:val="48"/>
      <w:szCs w:val="48"/>
    </w:rPr>
  </w:style>
  <w:style w:type="character" w:styleId="735" w:customStyle="1">
    <w:name w:val="Subtitle Char"/>
    <w:basedOn w:val="731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Endnote Text Char"/>
    <w:uiPriority w:val="99"/>
    <w:rPr>
      <w:sz w:val="20"/>
    </w:rPr>
  </w:style>
  <w:style w:type="paragraph" w:styleId="740" w:customStyle="1">
    <w:name w:val="Заголовок 11"/>
    <w:basedOn w:val="721"/>
    <w:next w:val="721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1" w:customStyle="1">
    <w:name w:val="Heading 1 Char"/>
    <w:basedOn w:val="731"/>
    <w:link w:val="740"/>
    <w:uiPriority w:val="9"/>
    <w:rPr>
      <w:rFonts w:ascii="Arial" w:hAnsi="Arial" w:cs="Arial" w:eastAsia="Arial"/>
      <w:sz w:val="40"/>
      <w:szCs w:val="40"/>
    </w:rPr>
  </w:style>
  <w:style w:type="paragraph" w:styleId="742" w:customStyle="1">
    <w:name w:val="Заголовок 21"/>
    <w:basedOn w:val="721"/>
    <w:next w:val="721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3" w:customStyle="1">
    <w:name w:val="Heading 2 Char"/>
    <w:basedOn w:val="731"/>
    <w:link w:val="742"/>
    <w:uiPriority w:val="9"/>
    <w:rPr>
      <w:rFonts w:ascii="Arial" w:hAnsi="Arial" w:cs="Arial" w:eastAsia="Arial"/>
      <w:sz w:val="34"/>
    </w:rPr>
  </w:style>
  <w:style w:type="paragraph" w:styleId="744" w:customStyle="1">
    <w:name w:val="Заголовок 31"/>
    <w:basedOn w:val="721"/>
    <w:next w:val="721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5" w:customStyle="1">
    <w:name w:val="Heading 3 Char"/>
    <w:basedOn w:val="731"/>
    <w:link w:val="744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Заголовок 41"/>
    <w:basedOn w:val="721"/>
    <w:next w:val="721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7" w:customStyle="1">
    <w:name w:val="Heading 4 Char"/>
    <w:basedOn w:val="731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Заголовок 51"/>
    <w:basedOn w:val="721"/>
    <w:next w:val="721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9" w:customStyle="1">
    <w:name w:val="Heading 5 Char"/>
    <w:basedOn w:val="731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Заголовок 61"/>
    <w:basedOn w:val="721"/>
    <w:next w:val="721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1" w:customStyle="1">
    <w:name w:val="Heading 6 Char"/>
    <w:basedOn w:val="731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Заголовок 71"/>
    <w:basedOn w:val="721"/>
    <w:next w:val="721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3" w:customStyle="1">
    <w:name w:val="Heading 7 Char"/>
    <w:basedOn w:val="731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Заголовок 81"/>
    <w:basedOn w:val="721"/>
    <w:next w:val="721"/>
    <w:link w:val="7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5" w:customStyle="1">
    <w:name w:val="Heading 8 Char"/>
    <w:basedOn w:val="731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Заголовок 91"/>
    <w:basedOn w:val="721"/>
    <w:next w:val="721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customStyle="1">
    <w:name w:val="Heading 9 Char"/>
    <w:basedOn w:val="731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No Spacing"/>
    <w:qFormat/>
    <w:pPr>
      <w:spacing w:lineRule="auto" w:line="240" w:after="0"/>
    </w:pPr>
  </w:style>
  <w:style w:type="paragraph" w:styleId="759">
    <w:name w:val="Title"/>
    <w:basedOn w:val="721"/>
    <w:next w:val="721"/>
    <w:link w:val="7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0" w:customStyle="1">
    <w:name w:val="Название Знак"/>
    <w:basedOn w:val="731"/>
    <w:link w:val="759"/>
    <w:uiPriority w:val="10"/>
    <w:rPr>
      <w:sz w:val="48"/>
      <w:szCs w:val="48"/>
    </w:rPr>
  </w:style>
  <w:style w:type="paragraph" w:styleId="761">
    <w:name w:val="Subtitle"/>
    <w:basedOn w:val="721"/>
    <w:next w:val="721"/>
    <w:link w:val="762"/>
    <w:qFormat/>
    <w:uiPriority w:val="11"/>
    <w:rPr>
      <w:sz w:val="24"/>
      <w:szCs w:val="24"/>
    </w:rPr>
    <w:pPr>
      <w:spacing w:after="200" w:before="200"/>
    </w:pPr>
  </w:style>
  <w:style w:type="character" w:styleId="762" w:customStyle="1">
    <w:name w:val="Подзаголовок Знак"/>
    <w:basedOn w:val="731"/>
    <w:link w:val="761"/>
    <w:uiPriority w:val="11"/>
    <w:rPr>
      <w:sz w:val="24"/>
      <w:szCs w:val="24"/>
    </w:rPr>
  </w:style>
  <w:style w:type="paragraph" w:styleId="763">
    <w:name w:val="Quote"/>
    <w:basedOn w:val="721"/>
    <w:next w:val="721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721"/>
    <w:next w:val="721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character" w:styleId="767" w:customStyle="1">
    <w:name w:val="Header Char"/>
    <w:basedOn w:val="731"/>
    <w:uiPriority w:val="99"/>
  </w:style>
  <w:style w:type="character" w:styleId="768" w:customStyle="1">
    <w:name w:val="Footer Char"/>
    <w:basedOn w:val="731"/>
    <w:uiPriority w:val="99"/>
  </w:style>
  <w:style w:type="paragraph" w:styleId="769" w:customStyle="1">
    <w:name w:val="Название объекта1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70" w:customStyle="1">
    <w:name w:val="Caption Char"/>
    <w:uiPriority w:val="99"/>
  </w:style>
  <w:style w:type="table" w:styleId="771" w:customStyle="1">
    <w:name w:val="Table Grid Light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0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2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4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5" w:customStyle="1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4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5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6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7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8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9" w:customStyle="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5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6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7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8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9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0" w:customStyle="1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3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4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5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6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7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8" w:customStyle="1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7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8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9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0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1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2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84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85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86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7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8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9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1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2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3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4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5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563C1" w:themeColor="hyperlink"/>
      <w:u w:val="single"/>
    </w:rPr>
  </w:style>
  <w:style w:type="paragraph" w:styleId="897">
    <w:name w:val="footnote text"/>
    <w:basedOn w:val="721"/>
    <w:link w:val="898"/>
    <w:uiPriority w:val="99"/>
    <w:semiHidden/>
    <w:unhideWhenUsed/>
    <w:rPr>
      <w:sz w:val="18"/>
    </w:rPr>
    <w:pPr>
      <w:spacing w:lineRule="auto" w:line="240"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31"/>
    <w:uiPriority w:val="99"/>
    <w:unhideWhenUsed/>
    <w:rPr>
      <w:vertAlign w:val="superscript"/>
    </w:rPr>
  </w:style>
  <w:style w:type="paragraph" w:styleId="900">
    <w:name w:val="endnote text"/>
    <w:basedOn w:val="721"/>
    <w:link w:val="901"/>
    <w:uiPriority w:val="99"/>
    <w:semiHidden/>
    <w:unhideWhenUsed/>
    <w:rPr>
      <w:sz w:val="20"/>
    </w:rPr>
    <w:pPr>
      <w:spacing w:lineRule="auto" w:line="240" w:after="0"/>
    </w:p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basedOn w:val="731"/>
    <w:uiPriority w:val="99"/>
    <w:semiHidden/>
    <w:unhideWhenUsed/>
    <w:rPr>
      <w:vertAlign w:val="superscript"/>
    </w:rPr>
  </w:style>
  <w:style w:type="paragraph" w:styleId="903">
    <w:name w:val="toc 1"/>
    <w:basedOn w:val="721"/>
    <w:next w:val="721"/>
    <w:uiPriority w:val="39"/>
    <w:unhideWhenUsed/>
    <w:pPr>
      <w:spacing w:after="57"/>
    </w:pPr>
  </w:style>
  <w:style w:type="paragraph" w:styleId="904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905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906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907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908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909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910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911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12">
    <w:name w:val="TOC Heading"/>
    <w:qFormat/>
    <w:uiPriority w:val="39"/>
    <w:unhideWhenUsed/>
  </w:style>
  <w:style w:type="paragraph" w:styleId="913">
    <w:name w:val="table of figures"/>
    <w:basedOn w:val="721"/>
    <w:next w:val="721"/>
    <w:uiPriority w:val="99"/>
    <w:unhideWhenUsed/>
    <w:pPr>
      <w:spacing w:after="0"/>
    </w:pPr>
  </w:style>
  <w:style w:type="table" w:styleId="914">
    <w:name w:val="Table Grid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5">
    <w:name w:val="List Paragraph"/>
    <w:basedOn w:val="721"/>
    <w:qFormat/>
    <w:pPr>
      <w:contextualSpacing w:val="true"/>
      <w:ind w:left="720"/>
    </w:pPr>
  </w:style>
  <w:style w:type="paragraph" w:styleId="916" w:customStyle="1">
    <w:name w:val="Верхний колонтитул1"/>
    <w:basedOn w:val="721"/>
    <w:link w:val="9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731"/>
    <w:link w:val="916"/>
    <w:uiPriority w:val="99"/>
  </w:style>
  <w:style w:type="paragraph" w:styleId="918" w:customStyle="1">
    <w:name w:val="Нижний колонтитул1"/>
    <w:basedOn w:val="721"/>
    <w:link w:val="9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731"/>
    <w:link w:val="918"/>
    <w:uiPriority w:val="99"/>
  </w:style>
  <w:style w:type="paragraph" w:styleId="920">
    <w:name w:val="Normal (Web)"/>
    <w:basedOn w:val="721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1">
    <w:name w:val="Header"/>
    <w:basedOn w:val="721"/>
    <w:link w:val="92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2" w:customStyle="1">
    <w:name w:val="Верхний колонтитул Знак1"/>
    <w:basedOn w:val="731"/>
    <w:link w:val="921"/>
    <w:uiPriority w:val="99"/>
  </w:style>
  <w:style w:type="character" w:styleId="923" w:customStyle="1">
    <w:name w:val="Заголовок 1 Знак"/>
    <w:basedOn w:val="731"/>
    <w:link w:val="722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character" w:styleId="924" w:customStyle="1">
    <w:name w:val="Заголовок 2 Знак"/>
    <w:basedOn w:val="731"/>
    <w:link w:val="723"/>
    <w:uiPriority w:val="9"/>
    <w:semiHidden/>
    <w:rPr>
      <w:rFonts w:ascii="Arial" w:hAnsi="Arial" w:cs="Arial" w:eastAsia="Arial"/>
      <w:sz w:val="34"/>
    </w:rPr>
  </w:style>
  <w:style w:type="character" w:styleId="925" w:customStyle="1">
    <w:name w:val="Заголовок 3 Знак"/>
    <w:basedOn w:val="731"/>
    <w:link w:val="724"/>
    <w:uiPriority w:val="9"/>
    <w:semiHidden/>
    <w:rPr>
      <w:rFonts w:ascii="Arial" w:hAnsi="Arial" w:cs="Arial" w:eastAsia="Arial"/>
      <w:sz w:val="30"/>
      <w:szCs w:val="30"/>
    </w:rPr>
  </w:style>
  <w:style w:type="character" w:styleId="926" w:customStyle="1">
    <w:name w:val="Заголовок 4 Знак"/>
    <w:basedOn w:val="731"/>
    <w:link w:val="725"/>
    <w:uiPriority w:val="9"/>
    <w:semiHidden/>
    <w:rPr>
      <w:rFonts w:ascii="Arial" w:hAnsi="Arial" w:cs="Arial" w:eastAsia="Arial"/>
      <w:b/>
      <w:bCs/>
      <w:sz w:val="26"/>
      <w:szCs w:val="26"/>
    </w:rPr>
  </w:style>
  <w:style w:type="character" w:styleId="927" w:customStyle="1">
    <w:name w:val="Заголовок 5 Знак"/>
    <w:basedOn w:val="731"/>
    <w:link w:val="726"/>
    <w:uiPriority w:val="9"/>
    <w:semiHidden/>
    <w:rPr>
      <w:rFonts w:ascii="Arial" w:hAnsi="Arial" w:cs="Arial" w:eastAsia="Arial"/>
      <w:b/>
      <w:bCs/>
      <w:sz w:val="24"/>
      <w:szCs w:val="24"/>
    </w:rPr>
  </w:style>
  <w:style w:type="character" w:styleId="928" w:customStyle="1">
    <w:name w:val="Заголовок 6 Знак"/>
    <w:basedOn w:val="731"/>
    <w:link w:val="727"/>
    <w:uiPriority w:val="9"/>
    <w:semiHidden/>
    <w:rPr>
      <w:rFonts w:ascii="Arial" w:hAnsi="Arial" w:cs="Arial" w:eastAsia="Arial"/>
      <w:b/>
      <w:bCs/>
    </w:rPr>
  </w:style>
  <w:style w:type="character" w:styleId="929" w:customStyle="1">
    <w:name w:val="Заголовок 7 Знак"/>
    <w:basedOn w:val="731"/>
    <w:link w:val="728"/>
    <w:uiPriority w:val="9"/>
    <w:semiHidden/>
    <w:rPr>
      <w:rFonts w:ascii="Arial" w:hAnsi="Arial" w:cs="Arial" w:eastAsia="Arial"/>
      <w:b/>
      <w:bCs/>
      <w:i/>
      <w:iCs/>
    </w:rPr>
  </w:style>
  <w:style w:type="character" w:styleId="930" w:customStyle="1">
    <w:name w:val="Заголовок 8 Знак"/>
    <w:basedOn w:val="731"/>
    <w:link w:val="729"/>
    <w:uiPriority w:val="9"/>
    <w:semiHidden/>
    <w:rPr>
      <w:rFonts w:ascii="Arial" w:hAnsi="Arial" w:cs="Arial" w:eastAsia="Arial"/>
      <w:i/>
      <w:iCs/>
    </w:rPr>
  </w:style>
  <w:style w:type="character" w:styleId="931" w:customStyle="1">
    <w:name w:val="Заголовок 9 Знак"/>
    <w:basedOn w:val="731"/>
    <w:link w:val="730"/>
    <w:uiPriority w:val="9"/>
    <w:semiHidden/>
    <w:rPr>
      <w:rFonts w:ascii="Arial" w:hAnsi="Arial" w:cs="Arial" w:eastAsia="Arial"/>
      <w:i/>
      <w:iCs/>
      <w:sz w:val="21"/>
      <w:szCs w:val="21"/>
    </w:rPr>
  </w:style>
  <w:style w:type="character" w:styleId="932">
    <w:name w:val="FollowedHyperlink"/>
    <w:basedOn w:val="731"/>
    <w:uiPriority w:val="99"/>
    <w:semiHidden/>
    <w:unhideWhenUsed/>
    <w:rPr>
      <w:color w:val="954F72" w:themeColor="followedHyperlink"/>
      <w:u w:val="single"/>
    </w:rPr>
  </w:style>
  <w:style w:type="paragraph" w:styleId="933">
    <w:name w:val="Footer"/>
    <w:basedOn w:val="721"/>
    <w:uiPriority w:val="99"/>
    <w:unhideWhenUsed/>
    <w:rPr>
      <w:rFonts w:ascii="Calibri" w:hAnsi="Calibri" w:cs="Calibri" w:eastAsia="Calibri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4" w:customStyle="1">
    <w:name w:val="Нижний колонтитул Знак1"/>
    <w:basedOn w:val="731"/>
    <w:uiPriority w:val="99"/>
    <w:semiHidden/>
  </w:style>
  <w:style w:type="paragraph" w:styleId="935">
    <w:name w:val="Caption"/>
    <w:basedOn w:val="721"/>
    <w:next w:val="721"/>
    <w:qFormat/>
    <w:uiPriority w:val="35"/>
    <w:semiHidden/>
    <w:unhideWhenUsed/>
    <w:rPr>
      <w:rFonts w:ascii="Calibri" w:hAnsi="Calibri" w:cs="Calibri" w:eastAsia="Calibri"/>
      <w:b/>
      <w:bCs/>
      <w:color w:val="5B9BD5" w:themeColor="accent1"/>
      <w:sz w:val="18"/>
      <w:szCs w:val="18"/>
    </w:rPr>
    <w:pPr>
      <w:spacing w:lineRule="auto" w:line="276"/>
    </w:pPr>
  </w:style>
  <w:style w:type="paragraph" w:styleId="936">
    <w:name w:val="Balloon Text"/>
    <w:basedOn w:val="721"/>
    <w:link w:val="937"/>
    <w:uiPriority w:val="99"/>
    <w:semiHidden/>
    <w:unhideWhenUsed/>
    <w:rPr>
      <w:rFonts w:ascii="Tahoma" w:hAnsi="Tahoma" w:cs="Tahoma" w:eastAsia="Calibri"/>
      <w:sz w:val="16"/>
      <w:szCs w:val="16"/>
    </w:rPr>
    <w:pPr>
      <w:spacing w:lineRule="auto" w:line="240" w:after="0"/>
    </w:pPr>
  </w:style>
  <w:style w:type="character" w:styleId="937" w:customStyle="1">
    <w:name w:val="Текст выноски Знак"/>
    <w:basedOn w:val="731"/>
    <w:link w:val="936"/>
    <w:uiPriority w:val="99"/>
    <w:semiHidden/>
    <w:rPr>
      <w:rFonts w:ascii="Tahoma" w:hAnsi="Tahoma" w:cs="Tahoma" w:eastAsia="Calibri"/>
      <w:sz w:val="16"/>
      <w:szCs w:val="16"/>
    </w:rPr>
  </w:style>
  <w:style w:type="paragraph" w:styleId="938" w:customStyle="1">
    <w:name w:val="Титулка"/>
    <w:basedOn w:val="721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</w:pPr>
  </w:style>
  <w:style w:type="character" w:styleId="939">
    <w:name w:val="line number"/>
    <w:basedOn w:val="731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hyperlink" Target="https://zakon.rada.gov.ua/laws/show/v1205219-98" TargetMode="External"/><Relationship Id="rId16" Type="http://schemas.openxmlformats.org/officeDocument/2006/relationships/hyperlink" Target="https://zakon.rada.gov.ua/laws/show/z1011-1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0BEC8C5-F095-44D0-B4F7-D180E43A5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BDF2103-9C62-48D9-9745-851BB2CA42E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18</cp:revision>
  <dcterms:created xsi:type="dcterms:W3CDTF">2024-05-15T05:01:00Z</dcterms:created>
  <dcterms:modified xsi:type="dcterms:W3CDTF">2024-05-30T12:51:24Z</dcterms:modified>
</cp:coreProperties>
</file>