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291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Саада Махфуду на виготовлення технічної документації із землеустрою щодо встановлення (відновлення) меж земельної ділянки в натурі на місцевості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клопотання гр. Верховського О.Г., який діє від імені Саада Махфуда на підставі нотаріально посвідченої довіреності від 28.03.2024, зареєстрованої в реєстрі №306 про надання дозволу на виготовлення технічної документації із землеустрою щодо вста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новлення (відновлення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меж орендованої земельної ділянки в натурі (на місцевості) загальною площею 0,0540 га з кадастровим номером 7423087201:01:002:0036 з цільовим призначенням «для ведення товарного сільськогосподарського виробництва» (код КВЦПЗ 01.01), що знаходиться на те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риторії Осьмаківського старостинського округу Менської міської територіальної громади, враховуючи, що на даній земельній ділянці розташований об’єкт нерухомого майна за адресою: вул. Шевченка, 58, с. Осьмаки, Корюківський район, Чернігівська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бласть, що перебуває на праві власності, керуючись ст.12, 120, 122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 :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Надати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звіл Саада Махфуду на вигот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влення технічної документації із землеустрою щодо встановлення (відновлення) меж орендованої земельної ділянки в натурі (на місцевості) на земельну ділянку загальною площею 0,0540 га з кадастровим номером 7423087201:01:002:0036 з цільовим призначенням «для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ведення товарного сільськогосподарського виробництва» (код КВЦПЗ 01.01), що знаходиться на території Осьмаківського старостинського округу Менської міської територіальної громади, за місцем розташування об’єкту нерухомого майна, що перебуває на праві влас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ності.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2. Сааду Махфуду виготовлену технічну документацію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із землеустрою щодо встановлення (відновлення) меж орендованої земельної ділянки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подати на затвердження згідно чинного законодавства.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набуває чинності з дня доведення до відома гр. Верховського О.Г. в установленому законом порядку.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першого заступника міського голови О.Л.Неберу.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2024-05-30T14:30:54Z</dcterms:modified>
</cp:coreProperties>
</file>