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ind w:left="2124"/>
        <w:jc w:val="center"/>
        <w:spacing w:lineRule="auto" w:line="259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     </w:t>
      </w:r>
      <w:r/>
    </w:p>
    <w:p>
      <w:pPr>
        <w:pStyle w:val="866"/>
        <w:ind w:left="4248"/>
        <w:spacing w:lineRule="auto" w:line="259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Додаток </w:t>
      </w:r>
      <w:r/>
    </w:p>
    <w:p>
      <w:pPr>
        <w:pStyle w:val="866"/>
        <w:ind w:left="4956"/>
        <w:jc w:val="center"/>
        <w:spacing w:lineRule="auto" w:line="259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до рішення 48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сесії Менської </w:t>
      </w:r>
      <w:r/>
    </w:p>
    <w:p>
      <w:pPr>
        <w:pStyle w:val="866"/>
        <w:ind w:left="4248"/>
        <w:jc w:val="center"/>
        <w:spacing w:lineRule="auto" w:line="25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8 скликання</w:t>
      </w:r>
      <w:r/>
    </w:p>
    <w:p>
      <w:pPr>
        <w:pStyle w:val="866"/>
        <w:ind w:left="3540" w:firstLine="708"/>
        <w:jc w:val="center"/>
        <w:spacing w:lineRule="auto" w:line="259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ru-RU"/>
        </w:rPr>
        <w:t xml:space="preserve">       2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/>
        </w:rPr>
        <w:t xml:space="preserve">9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травня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2024 року № 275</w:t>
      </w:r>
      <w:r/>
    </w:p>
    <w:p>
      <w:pPr>
        <w:pStyle w:val="866"/>
        <w:jc w:val="right"/>
        <w:spacing w:lineRule="auto" w:line="25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66"/>
        <w:jc w:val="right"/>
        <w:spacing w:lineRule="auto" w:line="25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66"/>
        <w:jc w:val="right"/>
        <w:spacing w:lineRule="auto" w:line="259" w:after="1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66"/>
        <w:jc w:val="right"/>
        <w:spacing w:lineRule="auto" w:line="259" w:after="1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66"/>
        <w:spacing w:lineRule="auto" w:line="36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jc w:val="center"/>
        <w:spacing w:lineRule="auto" w:line="36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jc w:val="center"/>
        <w:spacing w:lineRule="auto" w:line="360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/>
          <w:sz w:val="52"/>
          <w:szCs w:val="52"/>
        </w:rPr>
        <w:t xml:space="preserve">Статут</w:t>
      </w:r>
      <w:r/>
    </w:p>
    <w:p>
      <w:pPr>
        <w:pStyle w:val="866"/>
        <w:jc w:val="center"/>
        <w:spacing w:lineRule="auto" w:line="360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/>
          <w:sz w:val="52"/>
          <w:szCs w:val="52"/>
        </w:rPr>
        <w:t xml:space="preserve">КОМУНАЛЬНОГО  ЗАКЛАДУ</w:t>
      </w:r>
      <w:r/>
    </w:p>
    <w:p>
      <w:pPr>
        <w:pStyle w:val="866"/>
        <w:jc w:val="center"/>
        <w:spacing w:lineRule="auto" w:line="360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/>
          <w:sz w:val="52"/>
          <w:szCs w:val="52"/>
        </w:rPr>
        <w:t xml:space="preserve">“</w:t>
      </w:r>
      <w:r>
        <w:rPr>
          <w:rFonts w:ascii="Times New Roman" w:hAnsi="Times New Roman" w:cs="Times New Roman" w:eastAsia="Times New Roman"/>
          <w:b/>
          <w:sz w:val="52"/>
          <w:szCs w:val="52"/>
        </w:rPr>
        <w:t xml:space="preserve">ЦЕНТР КУЛЬТУРИ ТА</w:t>
      </w:r>
      <w:r/>
    </w:p>
    <w:p>
      <w:pPr>
        <w:pStyle w:val="866"/>
        <w:jc w:val="center"/>
        <w:spacing w:lineRule="auto" w:line="360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/>
          <w:sz w:val="52"/>
          <w:szCs w:val="52"/>
        </w:rPr>
        <w:t xml:space="preserve">ДОЗВІЛЛЯ МОЛОДІ”</w:t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/>
          <w:sz w:val="52"/>
          <w:szCs w:val="52"/>
        </w:rPr>
        <w:t xml:space="preserve">Менської міської ради</w:t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b/>
          <w:sz w:val="40"/>
          <w:szCs w:val="40"/>
        </w:rPr>
      </w:pPr>
      <w:r>
        <w:rPr>
          <w:rFonts w:ascii="Times New Roman" w:hAnsi="Times New Roman" w:cs="Times New Roman" w:eastAsia="Times New Roman"/>
          <w:b/>
          <w:sz w:val="40"/>
          <w:szCs w:val="40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sz w:val="40"/>
          <w:szCs w:val="40"/>
        </w:rPr>
        <w:t xml:space="preserve">(нова редакція)</w:t>
      </w:r>
      <w:bookmarkStart w:id="0" w:name="_GoBack"/>
      <w:r/>
      <w:bookmarkEnd w:id="0"/>
      <w:r/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sz w:val="56"/>
          <w:szCs w:val="56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firstLine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866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2024 </w:t>
      </w:r>
      <w:r/>
    </w:p>
    <w:p>
      <w:pPr>
        <w:pStyle w:val="866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м.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Мена</w:t>
      </w:r>
      <w:r/>
    </w:p>
    <w:p>
      <w:pPr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br w:type="page"/>
      </w:r>
      <w:r/>
    </w:p>
    <w:p>
      <w:pPr>
        <w:pStyle w:val="866"/>
        <w:numPr>
          <w:ilvl w:val="0"/>
          <w:numId w:val="1"/>
        </w:numPr>
        <w:ind w:left="0" w:right="0" w:firstLine="0"/>
        <w:jc w:val="center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ЗАГАЛЬНІ ПОЛОЖЕННЯ</w:t>
      </w:r>
      <w:r/>
    </w:p>
    <w:p>
      <w:pPr>
        <w:pStyle w:val="866"/>
        <w:ind w:left="92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1. Комунальний заклад “Центр культури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дозвілля молоді” Менської міської ради (далі - 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належить до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міської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територіальної громади. Засновник – Менська міська рада (далі – ЗАСНОВНИК).  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1.2. 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 свої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 діяльності підпорядковується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ідділу культури Менської міської ради (далі – ВІДДІЛ) як органу, уповноваженому ЗАСНОВНИКОМ.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1.3.ЗАСНОВНИК: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забезпечує будівлями (спорудами), збудованими за спеціальними проектами, або іншими упорядкованими приміщеннями, що відповідають вимогам функціонування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земельними ділянками, а також відповідним обладнанням;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здійснює контроль за використанням та збереженням  майна, яке передане Менському ЦКДМ на праві оперативного управління;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має право на вилучення пр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иміщення за умови надання Менському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іншого рівноцінного приміщення;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забезпечує фінансуванням для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належного функціонування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приймає рішення про ре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організацію та ліквідацію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здійснює інші повноваження, передбачені законодавством України.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1.4.ВІДДІЛ: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розглядає та погоджує проєкти планів робот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вносить до них зауваження та пропозиції;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заслуховує 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віти про роботу директора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затвердж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ує річні звіти про роботу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здійснює контрол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 за використанням коштів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затверджує стр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уктуру, граничну чисельність та  штатні розписи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здійснює інші повноваження, передбачені законодавством. 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1.5. 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є юридичною особою, може мати самостійний баланс, розрахунковий та інші рахунки в установах банків, має право від свого імені укладати договори, придбавати майнові та особисті немайнові права та нести обов’язки, бути позивачем та відповідачем у судах.  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є бюджетною неприбутковою організацією.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може мати круглу печатку, штампи та бланки зі своїм найменуванням. 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1.6. 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набуває прав юридичної особи з моменту його державної реєстрації. 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.7. 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 своїй діяльності керується </w:t>
      </w:r>
      <w:hyperlink r:id="rId14" w:tooltip="http://zakon.nau.ua/doc/?code=254%D0%BA/96-%D0%92%D0%A0" w:history="1">
        <w:r>
          <w:rPr>
            <w:rFonts w:ascii="Times New Roman" w:hAnsi="Times New Roman" w:cs="Times New Roman" w:eastAsia="Times New Roman"/>
            <w:sz w:val="28"/>
            <w:szCs w:val="28"/>
            <w:u w:val="single"/>
          </w:rPr>
          <w:t xml:space="preserve">Конституцією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hyperlink r:id="rId15" w:tooltip="http://zakon.nau.ua/doc/?code=2117-12" w:history="1">
        <w:r>
          <w:rPr>
            <w:rFonts w:ascii="Times New Roman" w:hAnsi="Times New Roman" w:cs="Times New Roman" w:eastAsia="Times New Roman"/>
            <w:sz w:val="28"/>
            <w:szCs w:val="28"/>
            <w:u w:val="single"/>
          </w:rPr>
          <w:t xml:space="preserve">Законом України “Про культуру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»”, Законом України “</w:t>
      </w:r>
      <w:hyperlink r:id="rId16" w:tooltip="http://zakon.nau.ua/doc/?code=280/97-%D0%92%D0%A0" w:history="1">
        <w:r>
          <w:rPr>
            <w:rFonts w:ascii="Times New Roman" w:hAnsi="Times New Roman" w:cs="Times New Roman" w:eastAsia="Times New Roman"/>
            <w:sz w:val="28"/>
            <w:szCs w:val="28"/>
            <w:u w:val="single"/>
          </w:rPr>
          <w:t xml:space="preserve">Про місцеве самоврядування в Україні”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, Законом України “Про основні засади молодіжної політики”, рішеннями міської ради 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наказами начальника Відділу культури Менської міської ради, цим Статутом та іншими нормативно-правовими актами, що регулюють діяльність у галузі культури.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1.8. 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на підставі чинного законодавства, визначає напрямки роботи, виходячи з існуючої матеріальної бази та кошторису витрат.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1.9.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Статут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затверджується ЗАСНОВНИКОМ, реєструється відповідно до вимог чинного законодавства є основним документом, що регулює діяльність </w:t>
      </w:r>
      <w:r>
        <w:rPr>
          <w:rFonts w:ascii="Times New Roman" w:hAnsi="Times New Roman" w:cs="Times New Roman" w:eastAsia="Times New Roman"/>
          <w:smallCaps/>
          <w:sz w:val="28"/>
          <w:szCs w:val="28"/>
        </w:rPr>
        <w:t xml:space="preserve">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1.10.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Статут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може бути переглянутий цілком або частково у зв’язку з прийняттям нових законодавчих або нормативних документів, що регламентують його діяльність.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.11.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Повне найменув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ання: 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нальний заклад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Центр культури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дозвілл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 молоді”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Скорочене найменування: 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1.12.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Юридична адреса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 15600, вул.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Героїв АТО,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10, місто Мена, 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орюківський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район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Чернігівська область.</w:t>
      </w:r>
      <w:r/>
    </w:p>
    <w:p>
      <w:pPr>
        <w:pStyle w:val="866"/>
        <w:ind w:firstLine="720"/>
        <w:jc w:val="both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16"/>
          <w:szCs w:val="28"/>
        </w:rPr>
      </w:r>
      <w:r>
        <w:rPr>
          <w:sz w:val="10"/>
        </w:rPr>
      </w:r>
    </w:p>
    <w:p>
      <w:pPr>
        <w:pStyle w:val="866"/>
        <w:numPr>
          <w:ilvl w:val="0"/>
          <w:numId w:val="1"/>
        </w:numPr>
        <w:ind w:left="0" w:right="0" w:firstLine="0"/>
        <w:jc w:val="center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ОСН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ВНІ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 ФУНКЦІЇ МЕНСЬКОГО ЦКДМ</w:t>
      </w:r>
      <w:r>
        <w:rPr>
          <w:b/>
        </w:rPr>
      </w:r>
    </w:p>
    <w:p>
      <w:pPr>
        <w:pStyle w:val="866"/>
        <w:ind w:firstLine="720"/>
        <w:jc w:val="both"/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Осно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вними завданнями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є: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сприяння процесам пізнання, відродження, збереження і розвитку української культури,  історії, національних традицій, українського естрадного мистецтва, самодіяльної художньої творчості;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-сприяння процесам зміцнення міжнаціональних зв’язків, взаємозбагачення культур різних народів;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пропаганда кращих традицій та знайомство з новинками вітчизняного та зарубіжного кінематографу жителів громади;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підтримка інноваційних процесів у сфері культури;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підтримка культурних та соціальних суспільно-значимих ініціатив молоді та інших верств населення, акцій та програм закладів і організацій. що ведуть культурно-творчу та виховну роботу;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 створення умов для індивідуальної та колективної народної творчості;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 організація змістовного  дозвілля жителів громади;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створення умов для спілкування людей у сфері дозвілля, засвоєння ними навичок і основ культури дозвілля, сімейного відпочинку на основі вивчення потреб різних верств населення, в першу чергу – дітей та молоді;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надання інформаційної і методичної допомоги любительським колективам і об’єднанням, гурткам і клубам, громадським формуванням і окремим громадянам з питань організації культурно - дозвіллєвої роботи і самодіяльної творчості.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 Для 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еалізації вказаних завдань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організує роботу різноманітних гуртків, любительських об’єднань і клубів за інтересами, колективів, студій, гуртків художньої самодіяльності, образотворчого та декоративно-прикладного мистецтва;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здійснює підготовку і проведення тематичних, театрально-концертних, танцювально-розважальних, ігрових, спортивних, пізнавальних, обрядових, рекреаційно-оздоровчих, сімейних та інших заходів та програм;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організує та проводить концерти, вистави, атракціони, видовищні заходи;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впроваджує сучасні моделі та форми культурно - дозвіллєвої діяльності;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залучає за встановленим порядком для проведення культурно-естрадних заходів професійні колективи, окремих виконавців;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організує регулярну демонстрацію кінофільмів та відеофільмів вітчизняного та зарубіжного виробництва для різних категорій населення;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проводить виставки дитячих робіт та  творів самодіяльних художників, майстрів декоративно-прикладного мистецтва, фотоаматорів тощо;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пропагує та організує різні форми роботи по розвитку туризму серед різних категорій населення спільно з туристичними агентствами області;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надає інформаційну і методичну допомогу любительським колективам і об’єднанням, гурткам, клубам, громадським формуванням, освітнім закладам і окремим громадянам з питань організації культурно-дозвіллєвої роботи і самодіяльної творчості.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 З метою розвитку мо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лодіжної інфраструктури в Менському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можуть створюватись молодіжні простори. Молодіжні простори  виступатимуть соціальними майданчиками для: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розвитку неформальної освіти серед молоді;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сприяння культурному розвитку молоді;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сприяння донесенню до молоді інформації про необхідність збереження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здоров’я, популяризації здорового способу життя;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сприяння проведенню активного та змістовного дозвілля серед молоді;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розвитку вуличних культур;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сприяння соціалізації та самореалізації молоді;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сприяння працевлаштуванню молоді та зайнятості у вільний час,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молодіжному підприємництву;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забезпечення громадянської освіти молоді та розвитку волонтерства;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сприяння активній участі молоді в суспільному житті;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інших завдань зі здійснення молодіжної роботи.</w:t>
      </w:r>
      <w:bookmarkStart w:id="1" w:name="n219"/>
      <w:r/>
      <w:bookmarkStart w:id="2" w:name="n220"/>
      <w:r/>
      <w:bookmarkEnd w:id="1"/>
      <w:r/>
      <w:bookmarkEnd w:id="2"/>
      <w:r/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 молодіжних просторах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можливе введення в штат працівників, які здійснюють молодіжну роботу, (штатні працівники та/або волонтери, які на постійній основі здійснюють молодіжну роботу).                             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функціонування молодіжного простору визнача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ється закладом, на базі якого організовано молодіжний простір.</w:t>
      </w:r>
      <w:r/>
    </w:p>
    <w:p>
      <w:pPr>
        <w:pStyle w:val="866"/>
        <w:ind w:right="23" w:firstLine="720"/>
        <w:jc w:val="center"/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866"/>
        <w:numPr>
          <w:ilvl w:val="0"/>
          <w:numId w:val="1"/>
        </w:numPr>
        <w:ind w:left="0" w:right="0" w:firstLine="0"/>
        <w:jc w:val="center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-ТВОРЧА ДІЯЛЬНІСТЬ</w:t>
      </w:r>
      <w:r>
        <w:rPr>
          <w:b/>
        </w:rPr>
      </w:r>
    </w:p>
    <w:p>
      <w:pPr>
        <w:pStyle w:val="866"/>
        <w:ind w:right="23" w:firstLine="720"/>
        <w:jc w:val="center"/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 своїй 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іально-творчій діяльності 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має право: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3.1. Застосовувати на практиці різноманітні методи господарсько-економічного механізму. В рамках чинного законодавства створювати госпрозрахункові підрозділи.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3.2. Відкривати різноманітні 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озвіллєві об’єкти: вітальні, світлиці, вечорницькі хати, кінозали, кафе, бари, більярдні зали, зали комп’ютерних ігор, кіоски та магазини, студії звукозапису, фізкультурно-оздоровчі кімнати та інші об’єкти культурно-оздоровчого та комерційного призначення.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3.3. Над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авати в оренду приміщення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порядку, встановленому законами України та рішенням міської  ради.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3.4. Проводити на платній основі масові заходи, в т.ч. вечори відпочинку, розважальні програми, концерти, свята, конкурси, вечори та дні сімейного відпочинку, демонстрацію ліцензійних кінофільмів тощо.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3.5. Створювати  платні гуртки, студії різних напрямків роботи.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Виконувати соціально-культурні та творчі замовлення від органів місцевої влади, громадських, політичних організацій, підприємств, приватних осіб на проведення різноманітних свят, обрядів, сімейних урочистостей, демонстрацію ліцензійних кінофільмів  тощо.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3.7. Надавати послуги по прокату ліцензійних кінофільмів, культурно-спортивного інвентарю, звукової апаратури та іншого обладнання.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3.8. Організовувати лекторії, семінари, тренінги з різних галузей знань.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3.9. На договірній основі спільно з туристичними агенціями надавати послуги в організації відпочинку та оздоровлення, туристичних подорожей та екскурсій.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3.10. Здійснювати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інші види діяльності, що не суперечать чинному законодавству України.</w:t>
      </w:r>
      <w:r/>
    </w:p>
    <w:p>
      <w:pPr>
        <w:pStyle w:val="866"/>
        <w:numPr>
          <w:ilvl w:val="0"/>
          <w:numId w:val="1"/>
        </w:numPr>
        <w:ind w:left="0" w:right="0" w:firstLine="0"/>
        <w:jc w:val="center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УПРАВЛІННЯ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МЕНСЬКИМ ЦКДМ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І ЙОГО САМОУПРАВЛІННЯ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pStyle w:val="866"/>
        <w:ind w:right="23" w:firstLine="720"/>
        <w:jc w:val="center"/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4.1. Упра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вління Менським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здійснюється на основі поєднання прав ЗАСНОВНИКА по матеріально-технічному та фінансовому забезпеченню, господарському використанню комунального майна; ВІДДІЛУ; принципів самоуправ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ління трудового колективу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(далі – ТРУДОВОГО КОЛЕКТИВУ); управлінської діяльності ДИРЕКТОРА.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Керівництво всією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оперативною діяльністю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здійснює ДИРЕКТОР, який призначається на посаду та звільняється з посади  начал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ьником ВІДДІЛУ культури, згідно закону України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культури». </w:t>
      </w:r>
      <w:r/>
    </w:p>
    <w:p>
      <w:pPr>
        <w:pStyle w:val="866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ДИРЕКТОР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підпорядковується безпосередньо начальнику ВІДДІЛУ культури Менської міської ради.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4.3.ДИРЕКТОР самостійно вирішує питання діяльності Менського </w:t>
      </w:r>
      <w:r>
        <w:rPr>
          <w:rFonts w:ascii="Times New Roman" w:hAnsi="Times New Roman" w:cs="Times New Roman" w:eastAsia="Times New Roman"/>
          <w:smallCaps/>
          <w:sz w:val="28"/>
          <w:szCs w:val="28"/>
        </w:rPr>
        <w:t xml:space="preserve">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за винятком тих, що віднесені до компетенції ЗАСНОВНИКА, ВІДДІЛУ, обласного управління культури, національностей та релігій, Міністерства культури, </w:t>
      </w:r>
      <w:r>
        <w:rPr>
          <w:rFonts w:ascii="Times New Roman" w:hAnsi="Times New Roman" w:cs="Times New Roman" w:eastAsia="Times New Roman"/>
          <w:smallCaps/>
          <w:sz w:val="28"/>
          <w:szCs w:val="28"/>
        </w:rPr>
        <w:t xml:space="preserve">ТРУДОВОГО КОЛЕКТИВУ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4.4. ДИРЕКТОР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має обов’язки і користується правами, наданими керівникам чинним законодавством України: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укладає договори, контракти, підписує документи (у тому числі і фінансові), пов’язані з діяльністю </w:t>
      </w:r>
      <w:r>
        <w:rPr>
          <w:rFonts w:ascii="Times New Roman" w:hAnsi="Times New Roman" w:cs="Times New Roman" w:eastAsia="Times New Roman"/>
          <w:smallCaps/>
          <w:sz w:val="28"/>
          <w:szCs w:val="28"/>
        </w:rPr>
        <w:t xml:space="preserve">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від імені ЗАСНОВНИКА розпоряджається майном у межах, визначених чинним законодавством України та цим Статутом;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готує у встановленому порядку проекти змін та доповнень до цього Статуту;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розпоряджається бюджетними, спонсорськими та коштами спеціального фонду відповідно до чинного законодавства України;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підписує колективний договір згідно з чинним законодавством України і цим Статутом;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звітує з питань здійснення діяльності Менського </w:t>
      </w:r>
      <w:r>
        <w:rPr>
          <w:rFonts w:ascii="Times New Roman" w:hAnsi="Times New Roman" w:cs="Times New Roman" w:eastAsia="Times New Roman"/>
          <w:smallCaps/>
          <w:sz w:val="28"/>
          <w:szCs w:val="28"/>
        </w:rPr>
        <w:t xml:space="preserve">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 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забезпечує подання у встановленому порядку статистичної звітності;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без довіреності діє від імені </w:t>
      </w:r>
      <w:r>
        <w:rPr>
          <w:rFonts w:ascii="Times New Roman" w:hAnsi="Times New Roman" w:cs="Times New Roman" w:eastAsia="Times New Roman"/>
          <w:smallCaps/>
          <w:sz w:val="28"/>
          <w:szCs w:val="28"/>
        </w:rPr>
        <w:t xml:space="preserve">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усіх органах державної влади, місцевого самоврядування, в установах, організаціях, підприємствах, а також здійснює інші дії в межах повноважень, передбачених чинним законодавством України та діючим Статутом;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видає накази, розпорядження, що є обов’язковими для працівників Менського </w:t>
      </w:r>
      <w:r>
        <w:rPr>
          <w:rFonts w:ascii="Times New Roman" w:hAnsi="Times New Roman" w:cs="Times New Roman" w:eastAsia="Times New Roman"/>
          <w:smallCaps/>
          <w:sz w:val="28"/>
          <w:szCs w:val="28"/>
        </w:rPr>
        <w:t xml:space="preserve">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 тому числі по заохоченню та накладенню дисциплінарних стягнень;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самостійно виз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начає напрямки діяльності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розв’язує кадрові питання;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має право використовувати у своїй діяльності договірну форму організації праці, ненормований режим роботи;</w:t>
      </w:r>
      <w:r/>
    </w:p>
    <w:p>
      <w:pPr>
        <w:pStyle w:val="866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несе відповідальніс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ть за наслідки діяльності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межах своїх повноважень.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4.5. ДИРЕКТОР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несе відповідальність за організацію діяльності Центру, а саме: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забезпечує реалізацію державної політики в галузі культури та молодіжної політики;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діє від імені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представляє його в усіх державних органах, на підприємствах, в установах і громадських організаціях;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розпоряджається коштами, укладає договори, відкриває рахунки в установах банків;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 межах своєї компетенції видає накази, обов’язкові для вико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нання працівниками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приймає та звіл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ьняє з роботи працівників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погодженням із начальником ВІДДІЛУ культури Менської міської ради;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забезпечує виконання санітарно-гігієнічних, протипожежних вимог та інших умов охорони життя і здоров’я працівників;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створює сприятливі умови для здійснення культурно-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дозвілевого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процесу.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4.6. Основною формою здійснення повнов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ажень трудового колективу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є його загальні збори.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Члени трудового колективу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зобов’язані: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дотримуватися вимог стат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уту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добросовісно виконувати свої трудові обов’язки, накази та розпорядження директора, рішення загальних зборів трудового колективу, творчо підходити до дорученої справи, сприяти своєю діяльністю рішенню 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авдань, які стоять перед Менським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активно брати участь в гр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омадській роботі, заходах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постійно підвищувати свій професійний рівень;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бер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ежливо ставитись до майна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пропагувати діяльність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7. Контроль за діяльністю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здійснює Менська міська рада та Відділ культури Менської міської ради.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4.8. Контроль за фінансово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-господарською діяльністю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здійснює ревізійна комісія, яка утворюється ЗАСНОВНИКОМ або ВІДДІЛОМ .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4.9. 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самостійно планує свою діяльність відповідно до потреб і запитів населення, керуючись розпорядженнями вищих 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ганів. Річний план роботи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затверджується начальником відділу культури Менської міської ради. </w:t>
      </w:r>
      <w:r/>
    </w:p>
    <w:p>
      <w:pPr>
        <w:pStyle w:val="866"/>
        <w:ind w:right="23" w:firstLine="567"/>
        <w:jc w:val="both"/>
        <w:tabs>
          <w:tab w:val="left" w:pos="972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4.10. Облік 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звітність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здійснюється у встановленому законом порядку.</w:t>
      </w:r>
      <w:r/>
    </w:p>
    <w:p>
      <w:pPr>
        <w:pStyle w:val="866"/>
        <w:ind w:right="23" w:firstLine="720"/>
        <w:jc w:val="center"/>
        <w:rPr>
          <w:sz w:val="10"/>
        </w:rPr>
      </w:pPr>
      <w:r>
        <w:rPr>
          <w:sz w:val="10"/>
          <w:szCs w:val="28"/>
        </w:rPr>
      </w:r>
      <w:r>
        <w:rPr>
          <w:sz w:val="10"/>
          <w:szCs w:val="28"/>
        </w:rPr>
      </w:r>
      <w:r>
        <w:rPr>
          <w:sz w:val="10"/>
        </w:rPr>
      </w:r>
    </w:p>
    <w:p>
      <w:pPr>
        <w:pStyle w:val="866"/>
        <w:numPr>
          <w:ilvl w:val="0"/>
          <w:numId w:val="1"/>
        </w:numPr>
        <w:ind w:left="0" w:right="0" w:firstLine="0"/>
        <w:jc w:val="center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ФІНАНСОВО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-ГОСПОДАРСЬКА ДІЯЛЬНІСТЬ</w:t>
      </w:r>
      <w:r/>
    </w:p>
    <w:p>
      <w:pPr>
        <w:pStyle w:val="866"/>
        <w:ind w:right="23" w:firstLine="720"/>
        <w:jc w:val="center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16"/>
          <w:szCs w:val="28"/>
        </w:rPr>
      </w:r>
      <w:r>
        <w:rPr>
          <w:sz w:val="10"/>
        </w:rPr>
      </w:r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5.1. Фі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нансово-господ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арська діяльність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будується на раціональному взаємозв’язку бюджетного фінансування з розвитком господарської діяльності за рахунок використання договірних відносин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державними, кооперативними, приватними і громадськими підприємствами, установами, організаціями та фізичними особами-підприємцями.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5.2. 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жерелом формування коштів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є: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кошти міського бюджету;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кошти, одержані від підприємств, установ, організацій та громадян за надання платних послуг у галузі культури та в ході спільної діяльності з ними;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доходи від надання в оренду примі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щень, обладнання та майна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 які не заборонені чинним законодавством України:;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добровільні грошові внески і спонсорські пожертвування підприємств, установ, організацій та окремих громадян, іноземних юридичних та фізичних осіб;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прибутки від платних заходів;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прибутки від платних атракціонів, гуртків, студій, курсів, груп;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кошти за платні консультації, методичні видання;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інші надходження.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5.3. Грошові ресурси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витрачаються на: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адміністративно-господарські потреби;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виплату заробітної плати найманим працівникам;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витрати на відрядження;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преміювання та надання матеріал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ьної допомоги працівникам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придбання костюмів, реквізиту, інвентарю, обладнання, апаратури 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т.п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проведення громадсько-політичних заходів, оглядів, виставок, фестивалів, конкурсів;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оплату культурних програм через комерційні організації, творчі спілки, лекторів, акторів, організаторів дискотек, інших осіб, залучених для забезпечення діяльності по сумісництву або за трудовою угодою.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5.4. 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 наданні послуг використовує ціни і тарифи, передбачені прейскурантами, затвердженими за встановленим порядком, а при відсутності таких цін 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тарифів - договірні ціни.  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має право самостійно встановлювати ціни та тарифи на нові види платних послуг населенню терміном не більше ніж 2 роки.</w:t>
      </w:r>
      <w:r/>
    </w:p>
    <w:p>
      <w:pPr>
        <w:pStyle w:val="866"/>
        <w:ind w:firstLine="567"/>
        <w:jc w:val="both"/>
        <w:tabs>
          <w:tab w:val="left" w:pos="756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5.5.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ума перевищення прибутків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над витратами залишається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його рахунку і скасуванню не підлягає.</w:t>
      </w:r>
      <w:r/>
    </w:p>
    <w:p>
      <w:pPr>
        <w:pStyle w:val="866"/>
        <w:ind w:left="0" w:right="0" w:firstLine="0"/>
        <w:jc w:val="center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>
        <w:rPr>
          <w:rFonts w:ascii="Times New Roman" w:hAnsi="Times New Roman" w:cs="Times New Roman" w:eastAsia="Times New Roman"/>
          <w:b/>
          <w:sz w:val="16"/>
        </w:rPr>
      </w:r>
    </w:p>
    <w:p>
      <w:pPr>
        <w:pStyle w:val="866"/>
        <w:numPr>
          <w:ilvl w:val="0"/>
          <w:numId w:val="1"/>
        </w:numPr>
        <w:ind w:left="0" w:right="0" w:firstLine="0"/>
        <w:jc w:val="center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ПРИПИНЕННЯ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ДІЯЛЬНОСТІ МЕНСЬКОГО ЦКДМ</w:t>
      </w:r>
      <w:r/>
    </w:p>
    <w:p>
      <w:pPr>
        <w:pStyle w:val="866"/>
        <w:ind w:left="0" w:right="0" w:firstLine="0"/>
        <w:jc w:val="center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16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>
        <w:rPr>
          <w:rFonts w:ascii="Times New Roman" w:hAnsi="Times New Roman" w:cs="Times New Roman" w:eastAsia="Times New Roman"/>
          <w:b/>
          <w:sz w:val="16"/>
        </w:rPr>
      </w:r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Діяльність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може бути припинена: </w:t>
      </w:r>
      <w:r/>
    </w:p>
    <w:p>
      <w:pPr>
        <w:pStyle w:val="866"/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 рішенням засновника;</w:t>
      </w:r>
      <w:r/>
    </w:p>
    <w:p>
      <w:pPr>
        <w:pStyle w:val="866"/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в інших випадках, передбачених законодавством України.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.2. Припинення діяльності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здійснюється шляхом його реорганіз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ації або ліквідації.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6.3. При реорганізації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(злиття, приєднання, поділ, виділення, перетворення) його права переходять до правонаступника.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6.4. Ліквідація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здійснюється ліквідаційною комісією, яка створюється за рішенням власника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а у випадках ліквідації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рішенням суду - ліквідаційною комісією, призначеною згідно чинного законодавства.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5. Майно та грошові кошти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 його ліквідації, включаючи виручку від розпродажу його майна при ліквідації, після розрахунків по оплаті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праці осіб, які працюють на умовах найму, та виконання зобов’язань перед бюджетом, банками та іншими кредиторами, повертається власнику або за його розпорядженням передається іншій установі.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6.6. Ліквідаційна комісія несе майнову відповідальність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збитки, які причинені нею Менським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а також третім особам, відповідно з діючим законодавством.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6.7. Ліквідаці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 вважається завершеною, а Менський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таким, що припинив  свою дія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льність, з моменту виключення його з реєстру державної реєстрації. </w:t>
      </w:r>
      <w:r/>
    </w:p>
    <w:p>
      <w:pPr>
        <w:pStyle w:val="866"/>
        <w:ind w:right="23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6.8. При ліквідації Менського ЦКДМ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працівникам, що звільняються,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гарантується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додержання їх прав та інтересів відповідно до трудового законодавства України.</w:t>
      </w:r>
      <w:r/>
    </w:p>
    <w:p>
      <w:pPr>
        <w:pStyle w:val="866"/>
        <w:ind w:left="0" w:right="23" w:firstLine="0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p>
      <w:pPr>
        <w:pStyle w:val="866"/>
        <w:ind w:left="0" w:right="23" w:firstLine="0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p>
      <w:pPr>
        <w:pStyle w:val="866"/>
        <w:ind w:left="0" w:right="23" w:firstLine="0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Відділу культури</w:t>
        <w:tab/>
        <w:t xml:space="preserve">Світлана ШЕЛУДЬКО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3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2"/>
    <w:next w:val="862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6">
    <w:name w:val="Heading 1 Char"/>
    <w:basedOn w:val="863"/>
    <w:link w:val="685"/>
    <w:uiPriority w:val="9"/>
    <w:rPr>
      <w:rFonts w:ascii="Arial" w:hAnsi="Arial" w:cs="Arial" w:eastAsia="Arial"/>
      <w:sz w:val="40"/>
      <w:szCs w:val="40"/>
    </w:rPr>
  </w:style>
  <w:style w:type="paragraph" w:styleId="687">
    <w:name w:val="Heading 2"/>
    <w:basedOn w:val="862"/>
    <w:next w:val="862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8">
    <w:name w:val="Heading 2 Char"/>
    <w:basedOn w:val="863"/>
    <w:link w:val="687"/>
    <w:uiPriority w:val="9"/>
    <w:rPr>
      <w:rFonts w:ascii="Arial" w:hAnsi="Arial" w:cs="Arial" w:eastAsia="Arial"/>
      <w:sz w:val="34"/>
    </w:rPr>
  </w:style>
  <w:style w:type="paragraph" w:styleId="689">
    <w:name w:val="Heading 3"/>
    <w:basedOn w:val="862"/>
    <w:next w:val="862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0">
    <w:name w:val="Heading 3 Char"/>
    <w:basedOn w:val="863"/>
    <w:link w:val="689"/>
    <w:uiPriority w:val="9"/>
    <w:rPr>
      <w:rFonts w:ascii="Arial" w:hAnsi="Arial" w:cs="Arial" w:eastAsia="Arial"/>
      <w:sz w:val="30"/>
      <w:szCs w:val="30"/>
    </w:rPr>
  </w:style>
  <w:style w:type="paragraph" w:styleId="691">
    <w:name w:val="Heading 4"/>
    <w:basedOn w:val="862"/>
    <w:next w:val="862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3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2"/>
    <w:next w:val="862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3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2"/>
    <w:next w:val="862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3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2"/>
    <w:next w:val="862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3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2"/>
    <w:next w:val="862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3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2"/>
    <w:next w:val="862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3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2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1"/>
    <w:pPr>
      <w:spacing w:lineRule="auto" w:line="240" w:after="0" w:before="0"/>
    </w:pPr>
  </w:style>
  <w:style w:type="paragraph" w:styleId="705">
    <w:name w:val="Title"/>
    <w:basedOn w:val="862"/>
    <w:next w:val="862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3"/>
    <w:link w:val="705"/>
    <w:uiPriority w:val="10"/>
    <w:rPr>
      <w:sz w:val="48"/>
      <w:szCs w:val="48"/>
    </w:rPr>
  </w:style>
  <w:style w:type="paragraph" w:styleId="707">
    <w:name w:val="Subtitle"/>
    <w:basedOn w:val="862"/>
    <w:next w:val="862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3"/>
    <w:link w:val="707"/>
    <w:uiPriority w:val="11"/>
    <w:rPr>
      <w:sz w:val="24"/>
      <w:szCs w:val="24"/>
    </w:rPr>
  </w:style>
  <w:style w:type="paragraph" w:styleId="709">
    <w:name w:val="Quote"/>
    <w:basedOn w:val="862"/>
    <w:next w:val="862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2"/>
    <w:next w:val="862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2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3"/>
    <w:link w:val="713"/>
    <w:uiPriority w:val="99"/>
  </w:style>
  <w:style w:type="paragraph" w:styleId="715">
    <w:name w:val="Footer"/>
    <w:basedOn w:val="862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3"/>
    <w:link w:val="715"/>
    <w:uiPriority w:val="99"/>
  </w:style>
  <w:style w:type="paragraph" w:styleId="717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9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0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1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2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3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4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2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3"/>
    <w:uiPriority w:val="99"/>
    <w:unhideWhenUsed/>
    <w:rPr>
      <w:vertAlign w:val="superscript"/>
    </w:rPr>
  </w:style>
  <w:style w:type="paragraph" w:styleId="849">
    <w:name w:val="endnote text"/>
    <w:basedOn w:val="862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3"/>
    <w:uiPriority w:val="99"/>
    <w:semiHidden/>
    <w:unhideWhenUsed/>
    <w:rPr>
      <w:vertAlign w:val="superscript"/>
    </w:rPr>
  </w:style>
  <w:style w:type="paragraph" w:styleId="852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 w:default="1">
    <w:name w:val="Normal"/>
    <w:qFormat/>
    <w:rPr>
      <w:rFonts w:ascii="Calibri" w:hAnsi="Calibri" w:cs="Calibri" w:eastAsia="Calibri"/>
      <w:color w:val="000000"/>
      <w:sz w:val="20"/>
      <w:szCs w:val="20"/>
      <w:lang w:val="uk-UA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3" w:default="1">
    <w:name w:val="Default Paragraph Font"/>
    <w:uiPriority w:val="1"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paragraph" w:styleId="866" w:customStyle="1">
    <w:name w:val="Звичайний1"/>
    <w:rPr>
      <w:rFonts w:ascii="Calibri" w:hAnsi="Calibri" w:cs="Calibri" w:eastAsia="Calibri"/>
      <w:color w:val="000000"/>
      <w:sz w:val="20"/>
      <w:szCs w:val="20"/>
      <w:lang w:val="uk-UA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7">
    <w:name w:val="table of figures"/>
    <w:basedOn w:val="862"/>
    <w:next w:val="862"/>
    <w:uiPriority w:val="99"/>
    <w:unhideWhenUsed/>
    <w:rPr>
      <w:rFonts w:ascii="Times New Roman" w:hAnsi="Times New Roman" w:cs="Times New Roman" w:eastAsia="Times New Roman"/>
      <w:color w:val="auto"/>
      <w:lang w:val="ru-RU" w:eastAsia="zh-CN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://zakon.nau.ua/doc/?code=254%D0%BA/96-%D0%92%D0%A0" TargetMode="External"/><Relationship Id="rId15" Type="http://schemas.openxmlformats.org/officeDocument/2006/relationships/hyperlink" Target="http://zakon.nau.ua/doc/?code=2117-12" TargetMode="External"/><Relationship Id="rId16" Type="http://schemas.openxmlformats.org/officeDocument/2006/relationships/hyperlink" Target="http://zakon.nau.ua/doc/?code=280/97-%D0%92%D0%A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СТАЛЬНИЧЕНКО Юрій Валерійович</cp:lastModifiedBy>
  <cp:revision>13</cp:revision>
  <dcterms:created xsi:type="dcterms:W3CDTF">2024-05-20T07:52:00Z</dcterms:created>
  <dcterms:modified xsi:type="dcterms:W3CDTF">2024-05-30T12:34:36Z</dcterms:modified>
</cp:coreProperties>
</file>