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290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5669" w:firstLine="0"/>
        <w:jc w:val="both"/>
        <w:spacing w:after="0" w:before="0"/>
        <w:tabs>
          <w:tab w:val="clear" w:pos="709" w:leader="none"/>
          <w:tab w:val="left" w:pos="3969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власників земельних часток (паїв) щодо виділення їм в натурі (на місцевості) земельних ділянок відповідно до розробленої проєктно-технічної документації по паюванню КСП «Нове життя» за межами с. Осьмаки,  КСП «Шлях хлібороба» за межами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Ушня, КСП ім. Сидоренка за межами м. Мена та с. Ліски, КСП «Полісся» за межами с. Синявка, КСП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«Світанок» за межами с. Киселівка,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 місцеве самоврядування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left="786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Осьмаки: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Кравченко Григорій Володимирович – ЧН №0321555 - свідоцтво про право на спадщину за законом від 16.08.2023, зареєстроване в реєстрі за №2217, спадкова справа №174/2023;</w:t>
      </w:r>
      <w:r/>
    </w:p>
    <w:p>
      <w:pPr>
        <w:ind w:left="786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Ушня: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Борисенко Світлана Володимирівна – ЧН №0177875-(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3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астка) - свідоцтво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раво на спадщину за законом від 03.04.2024, зареєстроване в реєстрі за №1166, спадкова справа № 94/2024; свідоцтво про право на спадщину за заповітом від 03.04.2024, зареєстроване в реєстрі за №1167, спадкова справа № 139/2014; свід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оцтво про право на спадщину за заповітом від 03.04.2024, зареєстроване в реєстрі за №1170, спадкова справа № 139/2014;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Євтушенко Віталій Володимирович – ЧН №0177875-(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частка) - свідоцтво 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право на спадщину за законом від 03.04.2024, зареєстроване в реєстрі за №1166, спадкова справа № 94/2024;свідоцтво про право на спадщину за заповітом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03.04.2024, зареєстроване в реєстрі за №1170, спадкова справа № 139/2014;свід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оцтво про право на спадщину за заповітом від 03.04.2024, зареєстроване в реєстрі за №1167, спадкова справа № 139/2014;</w:t>
      </w:r>
      <w:r/>
    </w:p>
    <w:p>
      <w:pPr>
        <w:ind w:left="786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м. Мена та с. Ліски: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Гайдук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Любов Анатоліївна – ЧН №0324188 (пасовище) - рішення 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ого районного суду Чернігівської області від 05.09.2023 року, справа № 738/1154/23, № провадження 2/738/242/2023;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Гайдук Любов Анатоліївна – ЧН №0324189 - рішення Менського районного суд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Чер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нігівської області від 05.09.2023 року, справа № 738/1154/23, № провадження 2/738/242/2023;</w:t>
      </w:r>
      <w:r/>
    </w:p>
    <w:p>
      <w:pPr>
        <w:ind w:left="0" w:right="0" w:firstLine="0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8"/>
        </w:rPr>
        <w:tab/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Синявка: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Васи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ленко Василь Андрійович – ЧН №0269067 - свідоцтво про право на спадщ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ину за законом від 26.03.2024, зареєстроване в реєстрі за №505, спадкова справа № 119/2023;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Хіль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Наталія Миколаївна – ЧН №0269375-(кормові угіддя) - свідоцтво про право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спадщину за заповітом від 01.05.2024, зареєстроване в реєстрі за №1093, спадкова справа № 134/2023;</w:t>
      </w:r>
      <w:r/>
    </w:p>
    <w:p>
      <w:pPr>
        <w:ind w:left="0" w:right="0" w:firstLine="0"/>
        <w:jc w:val="both"/>
        <w:spacing w:after="0" w:before="0"/>
        <w:tabs>
          <w:tab w:val="left" w:pos="426" w:leader="none"/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 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Киселівка: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Жук Іван Данилович – РН №969756 - свідоцтво про право на спадщину за законом від 24.05.2024, зареєстроване в реєстрі за №1683, спадкова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справа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287/1996.</w:t>
      </w:r>
      <w:r/>
    </w:p>
    <w:p>
      <w:p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691"/>
        <w:tabs>
          <w:tab w:val="clear" w:pos="709" w:leader="none"/>
          <w:tab w:val="left" w:pos="6378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2024-05-30T12:59:17Z</dcterms:modified>
</cp:coreProperties>
</file>