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 в оперативне управління Комунальній установі «Місцева пожежна охорона» Менської міської ради нерухомого майна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сорок шостої сесії восьмого скликання Менської міської ради  від 21 березня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143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оперативне управління нерухомим майном» та </w:t>
      </w:r>
      <w:r>
        <w:rPr>
          <w:color w:val="000000"/>
          <w:sz w:val="28"/>
          <w:szCs w:val="28"/>
          <w:lang w:val="uk-UA"/>
        </w:rPr>
        <w:t xml:space="preserve">рішенн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сорок сьомої сесії восьмого скликання Менської міської ради  від 25 квітня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212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внесення змін до рішення 46 сесії Менської міської ради 8 скликання від 21 березня 2024 року №143» керуючись ст.42, 50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b w:val="false"/>
          <w:sz w:val="28"/>
          <w:szCs w:val="28"/>
          <w:lang w:val="uk-UA"/>
        </w:rPr>
        <w:t xml:space="preserve">Комунальній установі «Місцева пожежна охорона» Менської міської ради</w:t>
      </w:r>
      <w:r>
        <w:rPr>
          <w:b/>
          <w:sz w:val="28"/>
          <w:szCs w:val="28"/>
          <w:lang w:val="uk-UA"/>
        </w:rPr>
        <w:t xml:space="preserve"> </w:t>
      </w:r>
      <w:r/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ДОМАШЕНКО Наталія Володимирівна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т.в.о. директора Комунальної установи  «Місцева пожежна охорона»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КРАМАРЕНКО Валентина Віталіївна – заступник начальника відділу бухгалтерського обліку та звітності Менської міської ради;</w:t>
      </w:r>
      <w:r>
        <w:rPr>
          <w:sz w:val="28"/>
          <w:szCs w:val="28"/>
          <w:lang w:val="uk-UA"/>
        </w:rPr>
        <w:tab/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ФУРМАН Оксана Миколаївна - бухгалтер Комунальної установи «Місцева пожежна охорона» Менської міської ради.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Гаєвого С.М.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Юрій СТАЛЬНИЧЕНКО</w:t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122</cp:revision>
  <dcterms:created xsi:type="dcterms:W3CDTF">2020-12-24T15:10:00Z</dcterms:created>
  <dcterms:modified xsi:type="dcterms:W3CDTF">2024-05-01T12:43:25Z</dcterms:modified>
</cp:coreProperties>
</file>