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BC" w:rsidRPr="000266BC" w:rsidRDefault="000266BC" w:rsidP="000266B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Pr="000266BC">
        <w:rPr>
          <w:sz w:val="28"/>
          <w:szCs w:val="28"/>
          <w:lang w:eastAsia="ru-RU"/>
        </w:rPr>
        <w:t>Додаток</w:t>
      </w:r>
    </w:p>
    <w:p w:rsidR="000266BC" w:rsidRPr="000266BC" w:rsidRDefault="000266BC" w:rsidP="000266BC">
      <w:pPr>
        <w:rPr>
          <w:sz w:val="28"/>
          <w:szCs w:val="28"/>
          <w:lang w:eastAsia="ru-RU"/>
        </w:rPr>
      </w:pPr>
      <w:r w:rsidRPr="000266BC">
        <w:rPr>
          <w:sz w:val="28"/>
          <w:szCs w:val="28"/>
          <w:lang w:eastAsia="ru-RU"/>
        </w:rPr>
        <w:t xml:space="preserve">                                                                               до протоколу засідання  </w:t>
      </w:r>
    </w:p>
    <w:p w:rsidR="000266BC" w:rsidRPr="000266BC" w:rsidRDefault="000266BC" w:rsidP="000266BC">
      <w:pPr>
        <w:rPr>
          <w:sz w:val="28"/>
          <w:szCs w:val="28"/>
          <w:lang w:eastAsia="ru-RU"/>
        </w:rPr>
      </w:pPr>
      <w:r w:rsidRPr="000266BC">
        <w:rPr>
          <w:sz w:val="28"/>
          <w:szCs w:val="28"/>
          <w:lang w:eastAsia="ru-RU"/>
        </w:rPr>
        <w:t xml:space="preserve">                                                                               виконавчого комітету</w:t>
      </w:r>
    </w:p>
    <w:p w:rsidR="000266BC" w:rsidRPr="000266BC" w:rsidRDefault="000266BC" w:rsidP="000266BC">
      <w:pPr>
        <w:rPr>
          <w:sz w:val="28"/>
          <w:szCs w:val="28"/>
          <w:lang w:eastAsia="ru-RU"/>
        </w:rPr>
      </w:pPr>
      <w:r w:rsidRPr="000266BC">
        <w:rPr>
          <w:sz w:val="28"/>
          <w:szCs w:val="28"/>
          <w:lang w:eastAsia="ru-RU"/>
        </w:rPr>
        <w:t xml:space="preserve">                                                                               Менської міської ради № 8</w:t>
      </w:r>
    </w:p>
    <w:p w:rsidR="000266BC" w:rsidRPr="000266BC" w:rsidRDefault="000266BC" w:rsidP="000266BC">
      <w:pPr>
        <w:rPr>
          <w:sz w:val="28"/>
          <w:szCs w:val="28"/>
          <w:lang w:eastAsia="ru-RU"/>
        </w:rPr>
      </w:pPr>
      <w:r w:rsidRPr="000266BC">
        <w:rPr>
          <w:sz w:val="28"/>
          <w:szCs w:val="28"/>
          <w:lang w:eastAsia="ru-RU"/>
        </w:rPr>
        <w:t xml:space="preserve">                                                                               24 квітня 2024 року</w:t>
      </w:r>
    </w:p>
    <w:p w:rsidR="000266BC" w:rsidRDefault="000266BC" w:rsidP="000A6422">
      <w:pPr>
        <w:pStyle w:val="13"/>
        <w:ind w:right="-57"/>
        <w:jc w:val="center"/>
        <w:rPr>
          <w:sz w:val="28"/>
          <w:szCs w:val="28"/>
          <w:lang w:val="uk-UA"/>
        </w:rPr>
      </w:pPr>
    </w:p>
    <w:p w:rsidR="006C4288" w:rsidRDefault="000A6422" w:rsidP="000A6422">
      <w:pPr>
        <w:pStyle w:val="13"/>
        <w:ind w:right="-57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</w:t>
      </w:r>
    </w:p>
    <w:p w:rsidR="006E3166" w:rsidRPr="000A6422" w:rsidRDefault="000A6422">
      <w:pPr>
        <w:pStyle w:val="13"/>
        <w:ind w:right="-57"/>
        <w:jc w:val="center"/>
        <w:rPr>
          <w:sz w:val="28"/>
          <w:szCs w:val="28"/>
          <w:lang w:val="uk-UA"/>
        </w:rPr>
      </w:pPr>
      <w:r w:rsidRPr="000A6422">
        <w:rPr>
          <w:sz w:val="28"/>
          <w:szCs w:val="28"/>
          <w:lang w:val="uk-UA"/>
        </w:rPr>
        <w:t>начальника Фінансового управління Менської міської ради</w:t>
      </w:r>
      <w:r>
        <w:rPr>
          <w:sz w:val="28"/>
          <w:szCs w:val="28"/>
          <w:lang w:val="uk-UA"/>
        </w:rPr>
        <w:t xml:space="preserve"> Алли Н</w:t>
      </w:r>
      <w:r w:rsidR="00A74600">
        <w:rPr>
          <w:sz w:val="28"/>
          <w:szCs w:val="28"/>
          <w:lang w:val="uk-UA"/>
        </w:rPr>
        <w:t>ерослик</w:t>
      </w:r>
    </w:p>
    <w:p w:rsidR="006E3166" w:rsidRPr="000A6422" w:rsidRDefault="00F24063">
      <w:pPr>
        <w:pStyle w:val="afd"/>
        <w:ind w:firstLine="567"/>
      </w:pPr>
      <w:r w:rsidRPr="000A6422">
        <w:t xml:space="preserve">про виконання бюджету Менської міської територіальної громади </w:t>
      </w:r>
    </w:p>
    <w:p w:rsidR="006E3166" w:rsidRPr="000A6422" w:rsidRDefault="00F24063">
      <w:pPr>
        <w:pStyle w:val="afd"/>
        <w:ind w:firstLine="567"/>
      </w:pPr>
      <w:r w:rsidRPr="000A6422">
        <w:t>за 1 квартал 2024 року</w:t>
      </w:r>
    </w:p>
    <w:p w:rsidR="000A6422" w:rsidRPr="000A6422" w:rsidRDefault="000A6422">
      <w:pPr>
        <w:pStyle w:val="afd"/>
        <w:ind w:firstLine="567"/>
      </w:pPr>
      <w:r w:rsidRPr="000A6422">
        <w:t>до питання</w:t>
      </w:r>
    </w:p>
    <w:p w:rsidR="000A6422" w:rsidRDefault="000A6422">
      <w:pPr>
        <w:pStyle w:val="afd"/>
        <w:ind w:firstLine="567"/>
      </w:pPr>
      <w:r>
        <w:t xml:space="preserve">75. </w:t>
      </w:r>
      <w:r w:rsidRPr="00945B58">
        <w:t xml:space="preserve">Про виконання бюджету Менської міської територіальної громади </w:t>
      </w:r>
    </w:p>
    <w:p w:rsidR="000A6422" w:rsidRDefault="000A6422">
      <w:pPr>
        <w:pStyle w:val="afd"/>
        <w:ind w:firstLine="567"/>
      </w:pPr>
      <w:r w:rsidRPr="00945B58">
        <w:t>за 1</w:t>
      </w:r>
      <w:r>
        <w:t xml:space="preserve"> </w:t>
      </w:r>
      <w:r w:rsidRPr="00945B58">
        <w:t>квартал 2024 року.</w:t>
      </w:r>
    </w:p>
    <w:p w:rsidR="00A74600" w:rsidRDefault="00A74600">
      <w:pPr>
        <w:pStyle w:val="afd"/>
        <w:ind w:firstLine="567"/>
        <w:rPr>
          <w:b/>
        </w:rPr>
      </w:pPr>
    </w:p>
    <w:p w:rsidR="006E3166" w:rsidRDefault="00F24063">
      <w:pPr>
        <w:pStyle w:val="18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загального фонду бюджету Менської ТГ за 1 квартал 2024 року свідчать про те, що план надходжень податків, зборів, платежів (без міжбюджетних трансфертів) виконано на 99,77%, недовиконання становить 80,2 тис. грн. (план – 34470,9 тис. грн., факт – 34390,7 тис. грн): </w:t>
      </w:r>
    </w:p>
    <w:p w:rsidR="006E3166" w:rsidRDefault="00F24063">
      <w:pPr>
        <w:pStyle w:val="18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 xml:space="preserve">податкові надходження </w:t>
      </w:r>
      <w:r>
        <w:rPr>
          <w:sz w:val="28"/>
          <w:szCs w:val="28"/>
          <w:lang w:val="uk-UA"/>
        </w:rPr>
        <w:t xml:space="preserve">виконані на 98,8 %, недовиконання становить 405,4 тис. грн.; </w:t>
      </w:r>
    </w:p>
    <w:p w:rsidR="006E3166" w:rsidRDefault="00F24063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неподаткові надходження</w:t>
      </w:r>
      <w:r>
        <w:rPr>
          <w:sz w:val="28"/>
          <w:szCs w:val="28"/>
          <w:lang w:val="uk-UA"/>
        </w:rPr>
        <w:t xml:space="preserve"> виконані на 126,0 %, перевиконання становить  325,3 тис. грн.</w:t>
      </w:r>
    </w:p>
    <w:p w:rsidR="006E3166" w:rsidRDefault="00F24063">
      <w:pPr>
        <w:pStyle w:val="18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дотацій та субвенцій складають – 23197,0 тис. грн., в тому числі:</w:t>
      </w:r>
    </w:p>
    <w:p w:rsidR="006E3166" w:rsidRDefault="00F24063">
      <w:pPr>
        <w:pStyle w:val="1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дотація (41020100) – 3361,2 тис. грн.;</w:t>
      </w:r>
    </w:p>
    <w:p w:rsidR="006E3166" w:rsidRDefault="00F24063">
      <w:pPr>
        <w:pStyle w:val="1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дотація (41021400) – 2843,7 тис. грн.;</w:t>
      </w:r>
    </w:p>
    <w:p w:rsidR="006E3166" w:rsidRDefault="00F24063">
      <w:pPr>
        <w:pStyle w:val="1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субвенція (41033900) – 16630,0 тис. грн.;</w:t>
      </w:r>
    </w:p>
    <w:p w:rsidR="006E3166" w:rsidRDefault="00F24063">
      <w:pPr>
        <w:pStyle w:val="1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субвенція на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-ресурсний центр за рахунок освітньої субвенції (41051000) – 321,9 тис. грн.;</w:t>
      </w:r>
    </w:p>
    <w:p w:rsidR="006E3166" w:rsidRDefault="00F24063">
      <w:pPr>
        <w:pStyle w:val="1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субвенції з місцевого бюджету (41053900) – 40,2 тис. грн, з них:</w:t>
      </w:r>
    </w:p>
    <w:p w:rsidR="006E3166" w:rsidRDefault="00F24063">
      <w:pPr>
        <w:pStyle w:val="18"/>
        <w:numPr>
          <w:ilvl w:val="0"/>
          <w:numId w:val="3"/>
        </w:numPr>
        <w:tabs>
          <w:tab w:val="left" w:pos="284"/>
        </w:tabs>
        <w:spacing w:after="0"/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об’єкта спільного користування Менського центру ПМСД (з бюджету </w:t>
      </w:r>
      <w:proofErr w:type="spellStart"/>
      <w:r>
        <w:rPr>
          <w:sz w:val="28"/>
          <w:szCs w:val="28"/>
          <w:lang w:val="uk-UA"/>
        </w:rPr>
        <w:t>Березнянської</w:t>
      </w:r>
      <w:proofErr w:type="spellEnd"/>
      <w:r>
        <w:rPr>
          <w:sz w:val="28"/>
          <w:szCs w:val="28"/>
          <w:lang w:val="uk-UA"/>
        </w:rPr>
        <w:t xml:space="preserve"> ТГ) – 30,0 тис. грн.;</w:t>
      </w:r>
    </w:p>
    <w:p w:rsidR="006E3166" w:rsidRDefault="00F24063">
      <w:pPr>
        <w:pStyle w:val="18"/>
        <w:numPr>
          <w:ilvl w:val="0"/>
          <w:numId w:val="3"/>
        </w:numPr>
        <w:tabs>
          <w:tab w:val="left" w:pos="284"/>
        </w:tabs>
        <w:spacing w:after="0"/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пільгове медичне обслуговування осіб, які постраждали внаслідок Чорнобильської катастрофи (з обласного бюджету) – 10,2 тис. грн.</w:t>
      </w:r>
    </w:p>
    <w:p w:rsidR="006E3166" w:rsidRDefault="00F24063">
      <w:pPr>
        <w:pStyle w:val="18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Видаткова частина загального фонду бюджету виконана в сумі 59915,6 тис. грн., що складає 74,8 % до планового періоду, а саме на: 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оплату праці працівників бюджетних установ та нарахування на неї – 42601,4 тис. грн. (71,1% загальної суми видатків);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спожиті енергоносії – 6018,2 тис. грн. (10,0% загальної суми видатків);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продуктів харчування – 1240,0 тис. грн. (2,1% загальної суми видатків);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медикаменти – 13,4 тис. грн. (0,02% загальної суми видатків);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виплати населенню – 1007,5 тис. грн. (1,7% загальної суми видатків);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субсидії і поточні трансферти підприємствам – 3970,3 тис. грн. (6,6% загальної суми видатків);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інші субвенції з місцевого бюджету – 1050,0 тис. грн. (1,8% загальної суми видатків):</w:t>
      </w:r>
    </w:p>
    <w:p w:rsidR="006E3166" w:rsidRDefault="00F24063">
      <w:pPr>
        <w:pStyle w:val="13"/>
        <w:numPr>
          <w:ilvl w:val="0"/>
          <w:numId w:val="6"/>
        </w:numPr>
        <w:ind w:left="567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бригад </w:t>
      </w:r>
      <w:proofErr w:type="spellStart"/>
      <w:r>
        <w:rPr>
          <w:sz w:val="28"/>
          <w:szCs w:val="28"/>
          <w:lang w:val="uk-UA"/>
        </w:rPr>
        <w:t>Бірківського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Макошинського</w:t>
      </w:r>
      <w:proofErr w:type="spellEnd"/>
      <w:r>
        <w:rPr>
          <w:sz w:val="28"/>
          <w:szCs w:val="28"/>
          <w:lang w:val="uk-UA"/>
        </w:rPr>
        <w:t xml:space="preserve"> пунктів Менської </w:t>
      </w:r>
      <w:bookmarkStart w:id="0" w:name="_GoBack"/>
      <w:bookmarkEnd w:id="0"/>
      <w:r>
        <w:rPr>
          <w:sz w:val="28"/>
          <w:szCs w:val="28"/>
          <w:lang w:val="uk-UA"/>
        </w:rPr>
        <w:t xml:space="preserve">підстанції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станції Е(Ш)МД – 1050,0 тис. грн.;</w:t>
      </w:r>
    </w:p>
    <w:p w:rsidR="006E3166" w:rsidRDefault="00F24063">
      <w:pPr>
        <w:pStyle w:val="18"/>
        <w:spacing w:after="0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видатки – 4014,8 тис. грн. (що складає 6,7% від загальної суми видатків).</w:t>
      </w:r>
    </w:p>
    <w:p w:rsidR="006E3166" w:rsidRDefault="00F24063">
      <w:pPr>
        <w:pStyle w:val="18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утримання бюджетних установ направлено 51105,8 тис. грн., з них на утримання: 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місцевого самоврядування – 7473,1 тис. грн., 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дошкільних навчальних закладів – 6490,3 тис. грн., 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загальноосвітніх закладів – 23307,8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позашкільної освіти – 994,0 тис. грн., 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мистецької школи – 1197,0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</w:pPr>
      <w:r>
        <w:rPr>
          <w:sz w:val="28"/>
          <w:szCs w:val="28"/>
          <w:lang w:val="uk-UA"/>
        </w:rPr>
        <w:t>інших закладів освіти (МНВК, Центр з обслуговування освітніх установ)– 2239,5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професійного розвитку педпрацівників – 233,8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ІРЦ – 282,2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територіального центру соціального обслуговування – 2996,1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соціальних служб для сім’ї, дітей та молоді – 594,1 тис. грн.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публічної бібліотеки – 1169,0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краєзнавчого музею – 123,8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будинки культури – 2712,4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заклади культури (бухгалтерія) – 230,6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навчально-тренувальної роботи (ДЮСШ) – 457,0 тис. грн.,</w:t>
      </w:r>
    </w:p>
    <w:p w:rsidR="006E3166" w:rsidRDefault="00F24063">
      <w:pPr>
        <w:pStyle w:val="18"/>
        <w:numPr>
          <w:ilvl w:val="0"/>
          <w:numId w:val="1"/>
        </w:numPr>
        <w:tabs>
          <w:tab w:val="left" w:pos="567"/>
        </w:tabs>
        <w:spacing w:after="0"/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місцевої пожежної охорони – 605,1 тис. грн.</w:t>
      </w:r>
    </w:p>
    <w:p w:rsidR="006E3166" w:rsidRDefault="006E3166">
      <w:pPr>
        <w:pStyle w:val="18"/>
        <w:tabs>
          <w:tab w:val="left" w:pos="567"/>
        </w:tabs>
        <w:spacing w:after="0"/>
        <w:ind w:left="0" w:right="-57"/>
        <w:jc w:val="both"/>
        <w:rPr>
          <w:sz w:val="28"/>
          <w:szCs w:val="28"/>
          <w:lang w:val="uk-UA"/>
        </w:rPr>
      </w:pPr>
    </w:p>
    <w:p w:rsidR="006E3166" w:rsidRDefault="00F24063">
      <w:pPr>
        <w:pStyle w:val="18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спеціального фонду бюджету Менської ТГ за 1 квартал 2024 року (без урахування трансфертів) свідчать про те, що надходження виконано в сумі 5077,4 тис. грн. </w:t>
      </w:r>
    </w:p>
    <w:p w:rsidR="006E3166" w:rsidRDefault="00F24063">
      <w:pPr>
        <w:pStyle w:val="18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Видаткова частина спеціального фонду бюджету виконана в сумі 5544,2 тис. грн..</w:t>
      </w:r>
    </w:p>
    <w:p w:rsidR="006E3166" w:rsidRDefault="00F24063">
      <w:pPr>
        <w:pStyle w:val="18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захищені статті видатків спрямовано 742,9 тис. грн., а саме на: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оплату праці та нарахування на неї – 75,3 тис. грн.,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медикаментів – 157,4 тис. грн.,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продуктів харчування – 456,4 тис. грн. </w:t>
      </w:r>
    </w:p>
    <w:p w:rsidR="006E3166" w:rsidRDefault="00F24063">
      <w:pPr>
        <w:pStyle w:val="13"/>
        <w:ind w:left="567"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спожиті енергоносії – 53,8 тис. грн.</w:t>
      </w:r>
    </w:p>
    <w:p w:rsidR="006E3166" w:rsidRDefault="00F24063">
      <w:pPr>
        <w:pStyle w:val="13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Передано субвенцію з місцевого бюджету державному бюджету – 72,4 тис. грн.</w:t>
      </w:r>
    </w:p>
    <w:p w:rsidR="006E3166" w:rsidRDefault="00F24063">
      <w:pPr>
        <w:pStyle w:val="18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субвенцій до спеціального фонду складають – 1069,9 тис. грн., в тому числі:</w:t>
      </w:r>
    </w:p>
    <w:p w:rsidR="006E3166" w:rsidRDefault="00F24063">
      <w:pPr>
        <w:pStyle w:val="1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залишок освітньої субвенції (41051100) – 1052,8 тис. грн.;</w:t>
      </w:r>
    </w:p>
    <w:p w:rsidR="006E3166" w:rsidRDefault="00F24063">
      <w:pPr>
        <w:pStyle w:val="18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інша субвенція з місцевого бюджету на харчування дітей (41053900) – 17,1 тис. грн.</w:t>
      </w:r>
    </w:p>
    <w:p w:rsidR="006E3166" w:rsidRDefault="00F24063">
      <w:pPr>
        <w:pStyle w:val="13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уточнено залишок коштів, що був на рахунках загального фонду в сумі 5285,0 тис. грн., з яких:</w:t>
      </w:r>
    </w:p>
    <w:p w:rsidR="006E3166" w:rsidRDefault="00F24063">
      <w:pPr>
        <w:pStyle w:val="13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залишок загального фонду – 3468,9 тис. грн.,</w:t>
      </w:r>
    </w:p>
    <w:p w:rsidR="006E3166" w:rsidRDefault="00F24063">
      <w:pPr>
        <w:pStyle w:val="13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субвенція на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-ресурсний центр за рахунок освітньої субвенції  – 25,9 тис. грн.,</w:t>
      </w:r>
    </w:p>
    <w:p w:rsidR="006E3166" w:rsidRDefault="00F24063">
      <w:pPr>
        <w:pStyle w:val="13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субвенція на особливі освітні потреби – 3,1 тис. грн., </w:t>
      </w:r>
    </w:p>
    <w:p w:rsidR="006E3166" w:rsidRDefault="00F24063">
      <w:pPr>
        <w:pStyle w:val="13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власних надходжень – 1787,1 тис. грн..</w:t>
      </w:r>
    </w:p>
    <w:p w:rsidR="006E3166" w:rsidRDefault="00F24063">
      <w:pPr>
        <w:pStyle w:val="13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періоду уточнено залишок коштів, що був на рахунках спеціального фонду як залишок субвенції на відновлення в сумі 14327,4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6E3166" w:rsidRDefault="00F24063">
      <w:pPr>
        <w:pStyle w:val="13"/>
        <w:ind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резервного фонду протягом звітного періоду не використовувались.</w:t>
      </w:r>
    </w:p>
    <w:p w:rsidR="006E3166" w:rsidRDefault="006E3166">
      <w:pPr>
        <w:pStyle w:val="13"/>
        <w:ind w:right="-57" w:firstLine="567"/>
        <w:jc w:val="both"/>
        <w:rPr>
          <w:sz w:val="28"/>
          <w:szCs w:val="28"/>
          <w:lang w:val="uk-UA"/>
        </w:rPr>
      </w:pPr>
    </w:p>
    <w:p w:rsidR="006E3166" w:rsidRDefault="00F2406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Фінансового управління                                                 </w:t>
      </w:r>
    </w:p>
    <w:p w:rsidR="006E3166" w:rsidRDefault="00F24063" w:rsidP="00A74600">
      <w:pPr>
        <w:pStyle w:val="aff"/>
        <w:tabs>
          <w:tab w:val="left" w:pos="7088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                                                  </w:t>
      </w:r>
      <w:r w:rsidR="00A746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Алла НЕРОСЛИК     </w:t>
      </w:r>
      <w:r>
        <w:rPr>
          <w:b/>
          <w:sz w:val="28"/>
          <w:szCs w:val="28"/>
          <w:lang w:val="uk-UA"/>
        </w:rPr>
        <w:t xml:space="preserve">     </w:t>
      </w:r>
    </w:p>
    <w:sectPr w:rsidR="006E3166" w:rsidSect="006C4288">
      <w:headerReference w:type="default" r:id="rId8"/>
      <w:pgSz w:w="11906" w:h="16838"/>
      <w:pgMar w:top="1134" w:right="567" w:bottom="1134" w:left="1701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07" w:rsidRDefault="00AD2107">
      <w:r>
        <w:separator/>
      </w:r>
    </w:p>
  </w:endnote>
  <w:endnote w:type="continuationSeparator" w:id="0">
    <w:p w:rsidR="00AD2107" w:rsidRDefault="00A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07" w:rsidRDefault="00AD2107">
      <w:r>
        <w:separator/>
      </w:r>
    </w:p>
  </w:footnote>
  <w:footnote w:type="continuationSeparator" w:id="0">
    <w:p w:rsidR="00AD2107" w:rsidRDefault="00AD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66" w:rsidRDefault="000266BC" w:rsidP="00A74600">
    <w:pPr>
      <w:pStyle w:val="ad"/>
      <w:jc w:val="center"/>
    </w:pPr>
    <w:r>
      <w:t xml:space="preserve">                                 </w:t>
    </w:r>
    <w:r w:rsidR="00F24063">
      <w:fldChar w:fldCharType="begin"/>
    </w:r>
    <w:r w:rsidR="00F24063">
      <w:instrText>PAGE \* MERGEFORMAT</w:instrText>
    </w:r>
    <w:r w:rsidR="00F24063">
      <w:fldChar w:fldCharType="separate"/>
    </w:r>
    <w:r w:rsidR="00A74600">
      <w:rPr>
        <w:noProof/>
      </w:rPr>
      <w:t>3</w:t>
    </w:r>
    <w:r w:rsidR="00F24063">
      <w:fldChar w:fldCharType="end"/>
    </w:r>
    <w:r>
      <w:t xml:space="preserve">              продовження додатка</w:t>
    </w:r>
  </w:p>
  <w:p w:rsidR="006E3166" w:rsidRDefault="006E31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39D1"/>
    <w:multiLevelType w:val="hybridMultilevel"/>
    <w:tmpl w:val="A4DAAF14"/>
    <w:lvl w:ilvl="0" w:tplc="48545644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EEBE96FA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597C774A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BF408FB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FE34961A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12DE314C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96FE3978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395E4714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51A6CD4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2D9E3083"/>
    <w:multiLevelType w:val="hybridMultilevel"/>
    <w:tmpl w:val="8138BC98"/>
    <w:lvl w:ilvl="0" w:tplc="BDDC505C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4614F602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4A946E90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F05C9524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A547510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7046BD02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B08A1B6E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BCCEB90C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7FECF6B4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" w15:restartNumberingAfterBreak="0">
    <w:nsid w:val="2FA45A2B"/>
    <w:multiLevelType w:val="hybridMultilevel"/>
    <w:tmpl w:val="FE162912"/>
    <w:lvl w:ilvl="0" w:tplc="FDEC02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5704A74E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E0826AA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27AC7146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F2A08F12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DB0923E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CDC0D22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32DA3BAA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52FA97C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3EC12DAD"/>
    <w:multiLevelType w:val="hybridMultilevel"/>
    <w:tmpl w:val="25CA3B74"/>
    <w:lvl w:ilvl="0" w:tplc="59801B8C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1F044B02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229ADF04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163E9D80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C5723CA8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676C09BC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D94A636A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4DBCA87A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E764AE28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4" w15:restartNumberingAfterBreak="0">
    <w:nsid w:val="70E438C9"/>
    <w:multiLevelType w:val="hybridMultilevel"/>
    <w:tmpl w:val="46849B6A"/>
    <w:lvl w:ilvl="0" w:tplc="9ADA4E26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A15247B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ED425C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36EC7C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4344408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7AE2D3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936405A0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6621C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10AE3C4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795B7448"/>
    <w:multiLevelType w:val="hybridMultilevel"/>
    <w:tmpl w:val="6D5E36AA"/>
    <w:lvl w:ilvl="0" w:tplc="60980A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B186CDD4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D25E0DB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CD1E7B8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441667DA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79AE62F6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EF2E39CE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FE3AC142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7F90430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66"/>
    <w:rsid w:val="000266BC"/>
    <w:rsid w:val="000A6422"/>
    <w:rsid w:val="0036432B"/>
    <w:rsid w:val="006C4288"/>
    <w:rsid w:val="006E3166"/>
    <w:rsid w:val="007F7D6E"/>
    <w:rsid w:val="00A74600"/>
    <w:rsid w:val="00AD2107"/>
    <w:rsid w:val="00E82F3D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9573"/>
  <w15:docId w15:val="{B3401C92-7E66-49AE-8D1A-CC7D552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13">
    <w:name w:val="Обычный1"/>
    <w:rPr>
      <w:lang w:val="ru-RU" w:eastAsia="ru-RU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afc">
    <w:name w:val="Заголовок Знак;Номер таблиці Знак"/>
    <w:link w:val="afd"/>
    <w:rPr>
      <w:sz w:val="28"/>
      <w:szCs w:val="28"/>
      <w:lang w:val="uk-UA"/>
    </w:rPr>
  </w:style>
  <w:style w:type="paragraph" w:customStyle="1" w:styleId="afd">
    <w:name w:val="Заголовок;Номер таблиці"/>
    <w:basedOn w:val="13"/>
    <w:link w:val="afc"/>
    <w:pPr>
      <w:jc w:val="center"/>
    </w:pPr>
    <w:rPr>
      <w:sz w:val="28"/>
      <w:szCs w:val="28"/>
      <w:lang w:val="uk-UA"/>
    </w:rPr>
  </w:style>
  <w:style w:type="character" w:customStyle="1" w:styleId="17">
    <w:name w:val="Название Знак1"/>
    <w:rPr>
      <w:rFonts w:ascii="Cambria" w:eastAsia="Times New Roman" w:hAnsi="Cambria"/>
      <w:b/>
      <w:bCs/>
      <w:sz w:val="32"/>
      <w:szCs w:val="32"/>
    </w:rPr>
  </w:style>
  <w:style w:type="paragraph" w:customStyle="1" w:styleId="18">
    <w:name w:val="Основной текст с отступом1"/>
    <w:basedOn w:val="13"/>
    <w:link w:val="afe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link w:val="18"/>
    <w:rPr>
      <w:sz w:val="24"/>
      <w:szCs w:val="24"/>
    </w:rPr>
  </w:style>
  <w:style w:type="paragraph" w:customStyle="1" w:styleId="aff">
    <w:name w:val="Обычный (Интернет)"/>
    <w:basedOn w:val="13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13"/>
    <w:link w:val="23"/>
    <w:pPr>
      <w:widowControl w:val="0"/>
      <w:shd w:val="clear" w:color="auto" w:fill="FFFFFF"/>
      <w:spacing w:line="168" w:lineRule="exact"/>
      <w:jc w:val="both"/>
    </w:pPr>
    <w:rPr>
      <w:sz w:val="17"/>
      <w:szCs w:val="17"/>
    </w:rPr>
  </w:style>
  <w:style w:type="paragraph" w:customStyle="1" w:styleId="19">
    <w:name w:val="Текст выноски1"/>
    <w:basedOn w:val="13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19"/>
    <w:rPr>
      <w:rFonts w:ascii="Tahoma" w:hAnsi="Tahoma"/>
      <w:sz w:val="16"/>
      <w:szCs w:val="16"/>
    </w:rPr>
  </w:style>
  <w:style w:type="paragraph" w:customStyle="1" w:styleId="1a">
    <w:name w:val="Верхний колонтитул1"/>
    <w:basedOn w:val="13"/>
    <w:link w:val="aff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14"/>
    <w:link w:val="1a"/>
  </w:style>
  <w:style w:type="paragraph" w:customStyle="1" w:styleId="1b">
    <w:name w:val="Нижний колонтитул1"/>
    <w:basedOn w:val="13"/>
    <w:link w:val="aff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14"/>
    <w:link w:val="1b"/>
  </w:style>
  <w:style w:type="paragraph" w:customStyle="1" w:styleId="aff3">
    <w:name w:val="Назва документа"/>
    <w:basedOn w:val="13"/>
    <w:next w:val="1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13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Usher</cp:lastModifiedBy>
  <cp:revision>4</cp:revision>
  <dcterms:created xsi:type="dcterms:W3CDTF">2024-04-30T09:04:00Z</dcterms:created>
  <dcterms:modified xsi:type="dcterms:W3CDTF">2024-05-02T07:18:00Z</dcterms:modified>
</cp:coreProperties>
</file>