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10205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164072310"/>
      <w:r>
        <w:rPr>
          <w:rFonts w:ascii="Times New Roman" w:hAnsi="Times New Roman" w:cs="Times New Roman" w:eastAsia="Times New Roman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10205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рішення 46 сесії Менської міської ради 8 скликання  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10205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21 березня 2024 року №153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10205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10205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(в редакції рішення 47 сесії Менської міської ради 8 скликання від 25 квітня 2024 року №204)</w:t>
      </w:r>
      <w:r>
        <w:rPr>
          <w:rFonts w:ascii="Times New Roman" w:hAnsi="Times New Roman" w:cs="Times New Roman" w:eastAsia="Times New Roman"/>
        </w:rPr>
      </w:r>
    </w:p>
    <w:p>
      <w:pPr>
        <w:ind w:right="-141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</w:rPr>
      </w:r>
    </w:p>
    <w:p>
      <w:pPr>
        <w:ind w:right="-141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</w:rPr>
      </w:r>
    </w:p>
    <w:p>
      <w:pPr>
        <w:ind w:left="142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Перелік майна комунальної власності Менської міської територіальної громади, </w:t>
      </w:r>
      <w:r>
        <w:rPr>
          <w:rFonts w:ascii="Times New Roman" w:hAnsi="Times New Roman" w:cs="Times New Roman" w:eastAsia="Times New Roman"/>
        </w:rPr>
      </w:r>
    </w:p>
    <w:p>
      <w:pPr>
        <w:ind w:left="142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яке припиняється  право оперативного управління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Менського закладу дошкільної освіти (ясла-садок) «Калинонька» загального типу Менської міської ради,</w:t>
      </w:r>
      <w:r>
        <w:rPr>
          <w:rFonts w:ascii="Times New Roman" w:hAnsi="Times New Roman" w:cs="Times New Roman" w:eastAsia="Times New Roman"/>
        </w:rPr>
      </w:r>
    </w:p>
    <w:p>
      <w:pPr>
        <w:ind w:left="142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яке передається на баланс Менської міської ради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</w:rPr>
      </w:r>
    </w:p>
    <w:tbl>
      <w:tblPr>
        <w:tblW w:w="13892" w:type="dxa"/>
        <w:tblInd w:w="6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1701"/>
        <w:gridCol w:w="3292"/>
        <w:gridCol w:w="337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eastAsia="zh-CN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eastAsia="zh-CN"/>
              </w:rPr>
              <w:t xml:space="preserve">Назва об’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  <w:lang w:val="en-US" w:eastAsia="zh-CN"/>
              </w:rPr>
              <w:t xml:space="preserve">єкту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eastAsia="zh-CN"/>
              </w:rPr>
              <w:t xml:space="preserve">Інвентарний  номер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eastAsia="zh-CN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8"/>
                <w:lang w:val="en-US" w:eastAsia="zh-CN"/>
              </w:rPr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en-US" w:eastAsia="zh-CN"/>
              </w:rPr>
              <w:t xml:space="preserve">Балансова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  <w:lang w:eastAsia="zh-CN"/>
              </w:rPr>
              <w:t xml:space="preserve">  вартість первинна, грн.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eastAsia="zh-CN"/>
              </w:rPr>
              <w:t xml:space="preserve">Залишкова вартість на 01.2024, грн.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keepNext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zh-CN"/>
              </w:rPr>
              <w:t xml:space="preserve">Приміщення Б1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10310002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27 212,00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3106,17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keepNext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zh-CN"/>
              </w:rPr>
              <w:t xml:space="preserve">Лічильник споживання води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111380283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515,00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257,50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Ел. лічильник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1137030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250,00</w:t>
            </w:r>
            <w:bookmarkEnd w:id="0"/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spacing w:lineRule="auto" w:line="240" w:after="0"/>
        <w:tabs>
          <w:tab w:val="left" w:pos="31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963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tabs>
          <w:tab w:val="left" w:pos="9638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6838" w:h="11906" w:orient="landscape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СТАЛЬНИЧЕНКО Юрій Валерійович</cp:lastModifiedBy>
  <cp:revision>2</cp:revision>
  <dcterms:created xsi:type="dcterms:W3CDTF">2024-04-25T13:23:00Z</dcterms:created>
  <dcterms:modified xsi:type="dcterms:W3CDTF">2024-04-25T15:34:21Z</dcterms:modified>
</cp:coreProperties>
</file>