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241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проекту землеустрою щодо відведення земельної ділянки з метою передачі в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</w:r>
      <w:r>
        <w:rPr>
          <w:sz w:val="14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гімназія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33361118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1,2470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7423082001:01:001:0203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закладів освіти (код згідно з КВЦПЗ – 03.02)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, по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Героїв України, 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ст. 92, 122 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26,</w:t>
      </w:r>
      <w:r>
        <w:rPr>
          <w:rFonts w:ascii="Times New Roman" w:hAnsi="Times New Roman"/>
          <w:sz w:val="28"/>
          <w:szCs w:val="28"/>
          <w:lang w:val="uk-UA"/>
        </w:rPr>
        <w:t xml:space="preserve"> 55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</w:t>
      </w:r>
      <w:r>
        <w:rPr>
          <w:rFonts w:ascii="Times New Roman" w:hAnsi="Times New Roman"/>
          <w:sz w:val="28"/>
          <w:szCs w:val="28"/>
          <w:lang w:val="uk-UA"/>
        </w:rPr>
        <w:t xml:space="preserve">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</w:t>
      </w:r>
      <w:r>
        <w:rPr>
          <w:rFonts w:ascii="Times New Roman" w:hAnsi="Times New Roman"/>
          <w:sz w:val="28"/>
          <w:szCs w:val="28"/>
          <w:lang w:val="uk-UA"/>
        </w:rPr>
        <w:t xml:space="preserve">янки в постійне користу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площею 1,2470 га кадастровий номер 7423082001:01:001:0203 для будівництва та обслуговування будівель закладів освіти (код згідно з КВЦПЗ – 03.02), яка розташована на території Менської міської територіальної громади в межах с.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, по вулиці Героїв України, 36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в постійне користування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1,2470 га кадастровий номер 7423082001:01:001:0203 для будівництва та обслуговування будівель закладів освіти (код згідно з КВЦПЗ – 03.02), яка розташована на території Менської міської територіальної громади в межах с.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/>
          <w:sz w:val="28"/>
          <w:szCs w:val="28"/>
          <w:lang w:val="uk-UA"/>
        </w:rPr>
        <w:t xml:space="preserve">, по вулиці Героїв України, 36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державну реєстрацію земельної ділянки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bookmarkStart w:id="1" w:name="_GoBack"/>
      <w:r>
        <w:rPr>
          <w:rFonts w:ascii="Times New Roman" w:hAnsi="Times New Roman"/>
          <w:sz w:val="28"/>
          <w:lang w:val="uk-UA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Волосківській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законом порядку.</w:t>
      </w:r>
      <w:r>
        <w:rPr>
          <w:rFonts w:ascii="Times New Roman" w:hAnsi="Times New Roman"/>
          <w:sz w:val="28"/>
          <w:lang w:val="uk-UA"/>
        </w:rPr>
      </w:r>
    </w:p>
    <w:p>
      <w:pPr>
        <w:pStyle w:val="845"/>
        <w:numPr>
          <w:ilvl w:val="0"/>
          <w:numId w:val="8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Юрій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Endnote Text Char"/>
    <w:uiPriority w:val="99"/>
    <w:rPr>
      <w:sz w:val="20"/>
    </w:rPr>
  </w:style>
  <w:style w:type="paragraph" w:styleId="709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basedOn w:val="70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qFormat/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Название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 w:customStyle="1">
    <w:name w:val="Обычный1"/>
    <w:rPr>
      <w:lang w:bidi="ar-SA"/>
    </w:rPr>
    <w:pPr>
      <w:spacing w:lineRule="auto" w:line="276" w:after="200"/>
    </w:pPr>
  </w:style>
  <w:style w:type="table" w:styleId="898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9">
    <w:name w:val="Balloon Text"/>
    <w:basedOn w:val="695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05"/>
    <w:link w:val="89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593AD0B-A2BE-4120-80E1-ADDE800B94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8</cp:revision>
  <dcterms:created xsi:type="dcterms:W3CDTF">2024-04-19T12:48:00Z</dcterms:created>
  <dcterms:modified xsi:type="dcterms:W3CDTF">2024-04-25T16:57:43Z</dcterms:modified>
</cp:coreProperties>
</file>