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firstLine="1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Додаток 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5669" w:firstLine="1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47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сесії Менсько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ї міської ради 8 скликання 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5669" w:firstLine="1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 квітня 2024 року № 201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ПОЛОЖЕННЯ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про сектор оборонної роботи, цивільного захисту населення та роботи 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з правоохоронними органами Менської міської ради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I. Загальні положення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1.1. Сектор оборонної роб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оти, цивільного захисту населення та роботи з правоохоронними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органами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Менської міської ради (далі – Сектор) є структурним підрозділом апарату Менської міської ради без статусу юридичної особи публічного права та утворюється рішенням Менської міської ради.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1.2. Сектор підпорядковується Менському міському голові, заступнику Менськог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 міського голови з питань діяльності виконавчих органів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1.3. Сектор у своїй діяльності керується Конституцією України,  Кодексом цивільного захисту Украї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ни, законами України, актами Президента України, Кабінету Міністрів України, наказами Державної служби України з надзвичайних ситуацій, рішеннями Менської міської ради та її виконавчого комітету, розпорядженнями Менського міського голови та цим Положенням.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1.4.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Основним завданням діяльності сектору у сфері оборонної роботи, цивільного захисту та роботи з правоохоронними органами є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участь у реалізації державної політики у сфері оборонної роботи та цивільного захисту, сприяння територіальним підрозділам, підприємствам, установам, організаціям усіх фор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 власності у протидії злочинним проявам, розроблення і здійснення заходів щодо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 підтримки готовності органів управління та сил територіальної підсистеми цивільного захисту та територіальної оборони до дій за призначенням у мирний час та в особливий період.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II. Основні завдання і функції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Сектор відповідно до покладених на нього завдань з питань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оборонної роботи: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1) забезпечує сприяння організації призову громадян на військову службу за призовом осіб офіцерського складу, строкову військову та альтернативну (невійськову) службу, а також їх мобілізації, підготовці молоді до служби в Зброй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них Силах України, організації навчальних (перевірочних) та спеціальних військових зборів; забезпечення доведення до підприємств, установ та організацій незалежно від форм власності, а також населення наказу військового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омісара про оголошення мобілізації;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2) сприяє у вирішенні питань бронювання робочих місць для військовозобов’язаних на підприємствах, в установах та організаціях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до законодавства;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0" w:name="n1155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" w:name="n492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2" w:name="n493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бере участь в організації та здійсненні заходів, пов'язаних з мобілізаційною підготовкою та цивільним захистом, на відповідній території;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3" w:name="n494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4" w:name="n495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3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4) розглядає відповідно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аконодавства питання, пов'язані з наданням військовим частинам, установам, навчальним закладам Збройних Сил України службових приміщень і жилої площі, інших об'єктів, комунально-побутових послуг; здійснення контролю за їх використанням, наданням послуг;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n496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5) сприяє організації виробництва і поставкам у війська підприємствами та організаціями, що належать до комунальної власності, замовленої продукції, послуг, енергоресурсів;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6" w:name="n497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7" w:name="n499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8" w:name="n500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7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6) забезпечує здійснення заходів щодо військово-патріотичного виховання населення.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2.2. Сектор відповідно до покладених на нього завдань з питань цивільного захисту населення: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1) здійс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нює функції постійно діючого органу управління цивільного захисту територіальної ланки;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2) забезпечує підготовку, скликання та проведення засідань комісії з питань те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хногенно-екологічної безпеки і надзвичайних ситуацій Менської міської територіальної громади, здійснює контроль за виконанням рішень комісії;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3) забезпечує готовність органів управління та сил цивільного захисту територіальної ланки до дій за призначенням;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4) розробляє та подає на затвердження плани з питань цивільного захисту населення, здійснює контроль за їх виконанням;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5) розробляє проекти місцевих програм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у встановленому порядку на затвердження, здійснює моніторинг їх реалізації;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6) організовує та проводить моніторинг надзвичайних ситуацій, здійснює прогнозування імовірності їх виникнення та визначає показники ризику в межах своїх повноважень;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7) забезпечує створення і належне функціонування місцевої системи оповіщення цивільного захисту;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8) забезпечує здійснення оповіщення та інформування населення про загрозу і виникнення надзвичайних ситуацій;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9) надає методичну допомогу органам з евакуації щодо організації проведення ева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куації та підготовки районів для розміщення евакуйованого населення і його життєзабезпечення, а також зберігання матеріальних і культурних цінностей;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10) здій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снює заходи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11) організовує та здійснює заходи з питань створення, збереження і використання матеріальних резервів для запобігання і ліквідації наслідків надзвичайних ситуацій;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12) постійно інформує населення про стан природно-техногенної безпеки та заходи, що здійснюються на території Менської міської об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єднаної територіальної громади з метою захисту населення і територій від надзвичайних сит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уацій техногенного і природного характеру;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13) одержує в установленому порядку від інших структурних підрозділів  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міської ради, підприємств, установ та організацій незалежно від форми власності інформацію, документи і матеріали, необхідні для виконання покладених на нього завдань;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14)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вживає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15) забезпечує підготовку проектів рішення сесії в разі створення відповідно до законодавства комунальної аварійно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-рятувальної служби, що утримується за рахунок коштів місцевого бюджету, про чисельність працівників такої служби, витрати на їх утримання, зокрема щодо матеріально-технічного забезпечення їх діяльності, створення для них необхідних житлово-побутових умов;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9" w:name="n520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0" w:name="n521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1" w:name="n524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2" w:name="n525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9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0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1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16) здійснює розроблення та здійснення заходів щодо матеріально-технічного забезпечення діяльності комунальних аварійно-рятувальних служб у разі їх створення;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3" w:name="n526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4" w:name="n527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3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17) організовує в установленому порядку навчання особового складу комунальних аварійно-рятувальних служб та аварійно-рятувальних служб громадських організацій;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18) вжи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ває у разі надзвичайних ситуацій необхідні заходи відповідно до закону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5" w:name="n534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6" w:name="n535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17" w:name="n536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6"/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19) забезпечує погодження проекту плану проведення потенційно небезпечних заходів в умовах присутності цивільного населення за участю особового складу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Збройних Сил України, інших військових формувань та правоохоро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нних органів з використанням озброєння і військової техніки;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20) здійснює інші повноважень у сфері цивільного захисту, визначених чинним законодавством.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2.3. Сектор відповідно до покладених на нього завдань з питань роботи з правоохоронними органами: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1) взаємодіє з правоохоронними органами з метою виконання Менською міською радою покладених Конституцією України функцій по забезпеченню законності і правопоря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дку на території Менської міської об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єднаної територіальної громади;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2) узагальнює інформацію про стан забезпечення законності і правопорядку в Менській міській об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єднаній територіальній громаді, додержання прав і свобод громадян;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3) здійснює підготовку проектів планів, програм і розпоряджень Менського міського голови щодо спільних дій правоохоронних органів з питань боротьби із злочинністю, забезпечення додержання прав і свобод громадян;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4) сприяє громадянам, громадським організаціям, спілкам, підприємствам, установам і організаціям всіх форм власності у протидії злочинним проявам;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5) сприяє організації та проведенню семінарів, зустрічей. круглих столів, навчання тощо з питань  дотримання правопорядку і законності;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6) розглядає питання щодо підготовки і внесення на розгляд ради пропозицій про створення відповідно до закону міліції, що утр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имується за рахунок коштів місцевого самоврядування, вирішення питань про чисельність працівників такої міліції, про витрати на їх утримання, здійснення матеріально-технічного забезпечення їх діяльності, створення для них необхідних житлово-побутових умов.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7) вирішує відповідно до закону питання про проведення зборів, мітингів, маніфестацій і демонстрацій, спортивних, видовищних та інших масових заходів; здійснення контролю за забезпеченням при їх проведенні громадського порядку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забезпечує створення і належне функціонування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системи відеоспостереження громади.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2.3.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Сектор здійснює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функції з керівництва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та організаційного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діяльності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ентру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безпеки і соціальної згуртованості Менської міської ради - постійно діючого робочого органу Менської міської ради.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2.4. Сектор здійснює підготовку проектів рішень сесії міської ради та виконавчого комітету міської ради, в т.ч. проектів нормативно-правових актів,  з питань, що відносяться до компетенції сектору.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2.5. Сектор забезпечує реалізацію інших повноважень виконавчого органу ради, визначених законодавчими актами, з питань віднесених до компетенції сектору.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III. Права та обов’язки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3.1. Сектор, для здійснення повноважень та виконання покладених на нього завдань, має право: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1) залучати спеціалістів структурних підрозділів Менської міської ради, підприємств, установ, організацій, об’єднань громадян (за погодженням з керівниками) для розгляду питань, що належать до його повноважень;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2) одержувати в установленому порядку від структурних підрозділів Менської міської ради, підприємств, установ та організацій інформацію, документи, матеріали, необхідні для виконання покладених на нього завдань та функцій;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3) ініціювати скликання в установленому порядку за погодженням з керівництвом  Менської міської ради  нарад з питань, що належать до його повноважень;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3.2. Сектор зобов’язаний забезпечити якісне, своєчасне та у повному обсязі виконання завдань та функцій, покладених на нього.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IV. Керівництво сектором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4.1. Сектор очолює завідувач, який призначається та звільняється з посади розпорядженням Менського міського голови згідно з чинним законодавством.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4.2. Завідувач сектору: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1) здійснює керівництво діяльністю сектору і несе персональну відповідальність за виконання покладених на сектор завдань і здійснення ним своїх завдань та функцій;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здійснює керівництво діяльністю Центру безпеки і соціальної згуртованості Менської міської ради – постійно діючого робочого органу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3) розробляє посадову інструкцію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завідувача сектору;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4) подає на затвердження Положення про сектор;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5) бере участь у роботі сесій Менської міської ради, нарадах, семінарах з питань,що належать до його компетенції;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6) вживає заходи щодо удосконалення організації та підвищення ефективності роботи Сектору;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7) підписує та візує документи в межах своєї компетенції;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8) запитує і одержує в установленому порядку від територіальних підрозділів, старостинських округів, підприємств, установ та організацій необхідні для виконання покладених на Сектор матеріали, статистичні дані та іншу інформацію;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9) за дорученням керівництва Менської міської ради представляє Сектор в установах, організаціях  з питань, що належать до його компетенції.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V. Взаємодія сектору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Сектор у встановленому порядку та у межах повноважень взаємодіє з підрозділом територіального органу ДСНС України, іншими структурними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підрозділами Менської міської ради, а також підприємствами, установами, організаціями, старостинськими округами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та іншими суб’єктами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</w:p>
    <w:p>
      <w:pPr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uk-UA"/>
        </w:rPr>
        <w:t xml:space="preserve">Заступник міського голови з питань</w:t>
      </w:r>
      <w:r>
        <w:rPr>
          <w:color w:val="000000" w:themeColor="text1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425" w:leader="none"/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uk-UA"/>
        </w:rPr>
        <w:t xml:space="preserve">діяльності виконавчих органів ради</w:t>
        <w:tab/>
        <w:t xml:space="preserve">Сергій ГАЄВОЙ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t xml:space="preserve">1</w:t>
      </w:r>
    </w:fldSimple>
    <w:r/>
    <w:r>
      <w:rPr>
        <w:rFonts w:ascii="Times New Roman" w:hAnsi="Times New Roman" w:cs="Times New Roman" w:eastAsia="Times New Roman"/>
        <w:i/>
        <w:sz w:val="24"/>
      </w:rPr>
      <w:t xml:space="preserve"> продовження додатку</w:t>
    </w:r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14" w:hanging="1005"/>
        <w:tabs>
          <w:tab w:val="left" w:pos="171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left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left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left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left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left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left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left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left" w:pos="6829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2"/>
    <w:link w:val="724"/>
    <w:uiPriority w:val="10"/>
    <w:rPr>
      <w:sz w:val="48"/>
      <w:szCs w:val="48"/>
    </w:rPr>
  </w:style>
  <w:style w:type="character" w:styleId="696">
    <w:name w:val="Subtitle Char"/>
    <w:basedOn w:val="702"/>
    <w:link w:val="726"/>
    <w:uiPriority w:val="11"/>
    <w:rPr>
      <w:sz w:val="24"/>
      <w:szCs w:val="24"/>
    </w:rPr>
  </w:style>
  <w:style w:type="character" w:styleId="697">
    <w:name w:val="Quote Char"/>
    <w:link w:val="728"/>
    <w:uiPriority w:val="29"/>
    <w:rPr>
      <w:i/>
    </w:rPr>
  </w:style>
  <w:style w:type="character" w:styleId="698">
    <w:name w:val="Intense Quote Char"/>
    <w:link w:val="730"/>
    <w:uiPriority w:val="30"/>
    <w:rPr>
      <w:i/>
    </w:rPr>
  </w:style>
  <w:style w:type="character" w:styleId="699">
    <w:name w:val="Footnote Text Char"/>
    <w:link w:val="865"/>
    <w:uiPriority w:val="99"/>
    <w:rPr>
      <w:sz w:val="18"/>
    </w:rPr>
  </w:style>
  <w:style w:type="character" w:styleId="700">
    <w:name w:val="Endnote Text Char"/>
    <w:link w:val="868"/>
    <w:uiPriority w:val="99"/>
    <w:rPr>
      <w:sz w:val="20"/>
    </w:rPr>
  </w:style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basedOn w:val="701"/>
    <w:next w:val="70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basedOn w:val="702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basedOn w:val="701"/>
    <w:next w:val="701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basedOn w:val="702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basedOn w:val="701"/>
    <w:next w:val="701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basedOn w:val="702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basedOn w:val="701"/>
    <w:next w:val="701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basedOn w:val="702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basedOn w:val="701"/>
    <w:next w:val="701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basedOn w:val="702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basedOn w:val="701"/>
    <w:next w:val="701"/>
    <w:link w:val="7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basedOn w:val="702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basedOn w:val="701"/>
    <w:next w:val="701"/>
    <w:link w:val="7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basedOn w:val="702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basedOn w:val="701"/>
    <w:next w:val="701"/>
    <w:link w:val="7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basedOn w:val="702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basedOn w:val="701"/>
    <w:next w:val="70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basedOn w:val="70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No Spacing"/>
    <w:qFormat/>
    <w:uiPriority w:val="1"/>
    <w:pPr>
      <w:spacing w:lineRule="auto" w:line="240" w:after="0"/>
    </w:pPr>
  </w:style>
  <w:style w:type="paragraph" w:styleId="724">
    <w:name w:val="Title"/>
    <w:basedOn w:val="701"/>
    <w:next w:val="701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basedOn w:val="702"/>
    <w:link w:val="724"/>
    <w:uiPriority w:val="10"/>
    <w:rPr>
      <w:sz w:val="48"/>
      <w:szCs w:val="48"/>
    </w:rPr>
  </w:style>
  <w:style w:type="paragraph" w:styleId="726">
    <w:name w:val="Subtitle"/>
    <w:basedOn w:val="701"/>
    <w:next w:val="701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basedOn w:val="702"/>
    <w:link w:val="726"/>
    <w:uiPriority w:val="11"/>
    <w:rPr>
      <w:sz w:val="24"/>
      <w:szCs w:val="24"/>
    </w:rPr>
  </w:style>
  <w:style w:type="paragraph" w:styleId="728">
    <w:name w:val="Quote"/>
    <w:basedOn w:val="701"/>
    <w:next w:val="701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1"/>
    <w:next w:val="701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Header"/>
    <w:basedOn w:val="701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basedOn w:val="702"/>
    <w:link w:val="732"/>
    <w:uiPriority w:val="99"/>
  </w:style>
  <w:style w:type="paragraph" w:styleId="734" w:customStyle="1">
    <w:name w:val="Footer"/>
    <w:basedOn w:val="701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02"/>
    <w:link w:val="734"/>
    <w:uiPriority w:val="99"/>
  </w:style>
  <w:style w:type="paragraph" w:styleId="736" w:customStyle="1">
    <w:name w:val="Caption"/>
    <w:basedOn w:val="701"/>
    <w:next w:val="70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8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9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0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1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2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3" w:customStyle="1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2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 w:customStyle="1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3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4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5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6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7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8" w:customStyle="1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1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3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5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6" w:customStyle="1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5" w:customStyle="1">
    <w:name w:val="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6" w:customStyle="1">
    <w:name w:val="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7" w:customStyle="1">
    <w:name w:val="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8" w:customStyle="1">
    <w:name w:val="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9" w:customStyle="1">
    <w:name w:val="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0" w:customStyle="1">
    <w:name w:val="Bordered &amp; 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2" w:customStyle="1">
    <w:name w:val="Bordered &amp; 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Bordered &amp; 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Bordered &amp; 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Bordered &amp; 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6" w:customStyle="1">
    <w:name w:val="Bordered &amp; 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9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0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1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2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3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563C1" w:themeColor="hyperlink"/>
      <w:u w:val="single"/>
    </w:rPr>
  </w:style>
  <w:style w:type="paragraph" w:styleId="865">
    <w:name w:val="footnote text"/>
    <w:basedOn w:val="701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2"/>
    <w:uiPriority w:val="99"/>
    <w:unhideWhenUsed/>
    <w:rPr>
      <w:vertAlign w:val="superscript"/>
    </w:rPr>
  </w:style>
  <w:style w:type="paragraph" w:styleId="868">
    <w:name w:val="endnote text"/>
    <w:basedOn w:val="701"/>
    <w:link w:val="869"/>
    <w:uiPriority w:val="99"/>
    <w:semiHidden/>
    <w:unhideWhenUsed/>
    <w:rPr>
      <w:sz w:val="20"/>
    </w:rPr>
    <w:pPr>
      <w:spacing w:lineRule="auto" w:line="240" w:after="0"/>
    </w:p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02"/>
    <w:uiPriority w:val="99"/>
    <w:semiHidden/>
    <w:unhideWhenUsed/>
    <w:rPr>
      <w:vertAlign w:val="superscript"/>
    </w:rPr>
  </w:style>
  <w:style w:type="paragraph" w:styleId="871">
    <w:name w:val="toc 1"/>
    <w:basedOn w:val="701"/>
    <w:next w:val="701"/>
    <w:uiPriority w:val="39"/>
    <w:unhideWhenUsed/>
    <w:pPr>
      <w:spacing w:after="57"/>
    </w:pPr>
  </w:style>
  <w:style w:type="paragraph" w:styleId="872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3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4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5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6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7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8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9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1"/>
    <w:next w:val="701"/>
    <w:uiPriority w:val="99"/>
    <w:unhideWhenUsed/>
    <w:pPr>
      <w:spacing w:after="0"/>
    </w:pPr>
  </w:style>
  <w:style w:type="paragraph" w:styleId="882">
    <w:name w:val="List Paragraph"/>
    <w:basedOn w:val="701"/>
    <w:rPr>
      <w:rFonts w:ascii="Calibri" w:hAnsi="Calibri" w:cs="Calibri" w:eastAsia="SimSu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Normal (Web)"/>
    <w:basedOn w:val="701"/>
    <w:uiPriority w:val="99"/>
    <w:semiHidden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4" w:customStyle="1">
    <w:name w:val="docdata"/>
    <w:basedOn w:val="702"/>
  </w:style>
  <w:style w:type="character" w:styleId="885" w:customStyle="1">
    <w:name w:val="Основной текст (4) + Times New Roman;14 pt"/>
    <w:basedOn w:val="702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paragraph" w:styleId="886" w:customStyle="1">
    <w:name w:val="26937"/>
    <w:basedOn w:val="701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7">
    <w:name w:val="Strong"/>
    <w:rPr>
      <w:b/>
      <w:bCs/>
    </w:rPr>
  </w:style>
  <w:style w:type="paragraph" w:styleId="888" w:customStyle="1">
    <w:name w:val="Heading 11"/>
    <w:uiPriority w:val="99"/>
    <w:rPr>
      <w:rFonts w:ascii="Times New Roman" w:hAnsi="Times New Roman" w:cs="Times New Roman" w:eastAsia="Calibri"/>
      <w:b/>
      <w:sz w:val="20"/>
      <w:szCs w:val="20"/>
      <w:lang w:eastAsia="ru-RU"/>
    </w:rPr>
    <w:pPr>
      <w:ind w:right="5103"/>
      <w:jc w:val="both"/>
      <w:spacing w:lineRule="auto" w:line="240" w:after="142" w:before="142"/>
      <w:shd w:val="nil" w:color="auto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89" w:customStyle="1">
    <w:name w:val="rvps2"/>
    <w:rPr>
      <w:rFonts w:ascii="Times New Roman" w:hAnsi="Times New Roman" w:cs="Tahoma" w:eastAsia="Calibri"/>
      <w:sz w:val="24"/>
      <w:szCs w:val="24"/>
      <w:lang w:val="en-US"/>
    </w:rPr>
    <w:pPr>
      <w:spacing w:lineRule="atLeast" w:line="100" w:after="28" w:before="28"/>
      <w:shd w:val="nil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90" w:customStyle="1">
    <w:name w:val="Обычный1"/>
    <w:rPr>
      <w:rFonts w:ascii="Calibri" w:hAnsi="Calibri" w:cs="Times New Roman" w:eastAsia="Calibri"/>
      <w:lang w:val="uk-UA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СТАЛЬНИЧЕНКО Юрій Валерійович</cp:lastModifiedBy>
  <cp:revision>21</cp:revision>
  <dcterms:created xsi:type="dcterms:W3CDTF">2021-10-07T07:37:00Z</dcterms:created>
  <dcterms:modified xsi:type="dcterms:W3CDTF">2024-04-25T16:16:50Z</dcterms:modified>
</cp:coreProperties>
</file>