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1"/>
        <w:tblW w:w="974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12"/>
        <w:gridCol w:w="566"/>
        <w:gridCol w:w="851"/>
        <w:gridCol w:w="992"/>
        <w:gridCol w:w="3649"/>
        <w:gridCol w:w="3576"/>
        <w:gridCol w:w="86"/>
        <w:gridCol w:w="17"/>
      </w:tblGrid>
      <w:tr>
        <w:trPr>
          <w:gridAfter w:val="2"/>
          <w:gridBefore w:val="1"/>
        </w:trPr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34" w:type="dxa"/>
            <w:textDirection w:val="lrTb"/>
            <w:noWrap w:val="false"/>
          </w:tcPr>
          <w:p>
            <w:pPr>
              <w:pStyle w:val="842"/>
              <w:ind w:left="567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Додаток 2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42"/>
              <w:ind w:left="567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до рішення 4</w:t>
            </w:r>
            <w:r>
              <w:rPr>
                <w:color w:val="000000"/>
                <w:sz w:val="28"/>
                <w:szCs w:val="28"/>
              </w:rPr>
              <w:t xml:space="preserve">7</w:t>
            </w:r>
            <w:r>
              <w:rPr>
                <w:color w:val="000000"/>
                <w:sz w:val="28"/>
                <w:szCs w:val="28"/>
              </w:rPr>
              <w:t xml:space="preserve"> сесії Менської міської ради 8 скликання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42"/>
              <w:ind w:left="5670"/>
              <w:jc w:val="both"/>
              <w:spacing w:after="0" w:afterAutospacing="0" w:before="0" w:beforeAutospacing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>
              <w:rPr>
                <w:color w:val="000000"/>
                <w:sz w:val="28"/>
                <w:szCs w:val="28"/>
              </w:rPr>
              <w:t xml:space="preserve">квітня 2024 року №210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tcW w:w="9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Розділ 11. Архітектура (ДІАМ)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01208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повідомленні про початок виконання будівельних робіт на об’єктах з незначними наслідками (СС1)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/>
            <w:hyperlink r:id="rId11" w:tooltip="https://zakon.rada.gov.ua/laws/show/3038-17" w:history="1">
              <w:r>
                <w:rPr>
                  <w:rStyle w:val="84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Закон України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“Про </w:t>
            </w:r>
            <w:bookmarkStart w:id="1" w:name="w1_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"https://zakon.rada.gov.ua/laws/show/523-2014-%D1%80?find=1&amp;text=%D1%80%D0%B5%D0%B3%D1%83%D0%BB%D1%8E%D0%B2%D0%B0%D0%BD%D0%BD%D1%8F+%D0%BC%D1%96%D1%81%D1%82%D0%BE%D0%B1%D1%83%D0%B4%D1%96%D0%B2%D0%BD%D0%BE%D1%97" \l "w1_2"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84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регулювання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bookmarkStart w:id="2" w:name="w2_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"https://zakon.rada.gov.ua/laws/show/523-2014-%D1%80?find=1&amp;text=%D1%80%D0%B5%D0%B3%D1%83%D0%BB%D1%8E%D0%B2%D0%B0%D0%BD%D0%BD%D1%8F+%D0%BC%D1%96%D1%81%D1%82%D0%BE%D0%B1%D1%83%D0%B4%D1%96%D0%B2%D0%BD%D0%BE%D1%97" \l "w2_2"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84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містобудівної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діяльності”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01209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ності інформації, зазначеної у повідомленні про зміну даних у   поданому повідомленні про початок виконання будівельних робіт на об’єктах з незначними наслідками (СС1) (зміна відомостей про початок виконання будівельних робіт/виправлення технічної помилки)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11.03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01218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повідомленні про початок виконання будівельних робіт щодо об’єктів, будівництво яких здійснюється на підставі будівельного паспорта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01219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пові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домленні про зміну даних у поданому повідомленні про початок виконання будівельних робіт щодо об’єктів, будівництво яких здійснюється на підставі будівельного паспорта (зміна відомостей про початок виконання будівельних робіт/виправлення технічної помилки)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11.05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01188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заяві про припинення права, набутого на підставі повідомлення про початок виконання будівельних робіт на об’єктах з незначними наслідками (СС1)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11.06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00134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  зазначеної у повідомленні  про початок виконання підготовчих робіт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11.07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01190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заяві про припинення права, набутого на підставі повідомлення про початок виконання підготовчих робіт на об’єкті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/>
            <w:hyperlink r:id="rId12" w:tooltip="https://zakon.rada.gov.ua/laws/show/3038-17" w:history="1">
              <w:r>
                <w:rPr>
                  <w:rStyle w:val="84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Закон України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“Про </w:t>
            </w:r>
            <w:hyperlink r:id="rId13" w:tooltip="https://zakon.rada.gov.ua/laws/show/523-2014-%D1%80?find=1&amp;text=%D1%80%D0%B5%D0%B3%D1%83%D0%BB%D1%8E%D0%B2%D0%B0%D0%BD%D0%BD%D1%8F+%D0%BC%D1%96%D1%81%D1%82%D0%BE%D0%B1%D1%83%D0%B4%D1%96%D0%B2%D0%BD%D0%BE%D1%97#w1_2" w:anchor="w1_2" w:history="1">
              <w:r>
                <w:rPr>
                  <w:rStyle w:val="84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регулювання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</w:t>
            </w:r>
            <w:hyperlink r:id="rId14" w:tooltip="https://zakon.rada.gov.ua/laws/show/523-2014-%D1%80?find=1&amp;text=%D1%80%D0%B5%D0%B3%D1%83%D0%BB%D1%8E%D0%B2%D0%B0%D0%BD%D0%BD%D1%8F+%D0%BC%D1%96%D1%81%D1%82%D0%BE%D0%B1%D1%83%D0%B4%D1%96%D0%B2%D0%BD%D0%BE%D1%97#w2_2" w:anchor="w2_2" w:history="1">
              <w:r>
                <w:rPr>
                  <w:rStyle w:val="84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містобудівної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діяльності”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01263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декларації про готовність до експлуатації самочинно збудованого об’єкта, на яке визнано право власності за рішенням суду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11.09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00138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декларації про готовність об’єкта до експлуатації, будівництво якого здійснено на підставі будівельного паспорта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11.10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01376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декларації про готовність об’єкта до експлуатації щодо об’єктів, що за класом наслідків (відповідальності) належать до об’єктів з незначними наслідками (СС1)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11.11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01189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повідомленні про зміну даних у зареєстрованій в установленому порядку декларації про початок виконання підготовчих робіт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  <w:tr>
        <w:trPr>
          <w:gridBefore w:val="1"/>
        </w:trPr>
        <w:tc>
          <w:tcPr>
            <w:tcW w:w="566" w:type="dxa"/>
            <w:textDirection w:val="lrTb"/>
            <w:noWrap w:val="false"/>
          </w:tcPr>
          <w:p>
            <w:pPr>
              <w:pStyle w:val="840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11.12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01902</w:t>
            </w:r>
            <w:r/>
          </w:p>
        </w:tc>
        <w:tc>
          <w:tcPr>
            <w:tcW w:w="364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до Реєстру будівельної діяльності інформації, зазначеної у повідомленні про зміну даних у зареєстрованій в установленому порядку декларації про початок виконання будівельних робіт</w:t>
            </w:r>
            <w:r/>
          </w:p>
        </w:tc>
        <w:tc>
          <w:tcPr>
            <w:gridSpan w:val="3"/>
            <w:tcW w:w="36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-“-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8"/>
          <w:szCs w:val="24"/>
          <w:highlight w:val="none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“Центр надання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highlight w:val="none"/>
        </w:rPr>
        <w:t xml:space="preserve">адміністративних послуг”                                                        Валерій РАЧКОВ</w:t>
      </w:r>
      <w:r>
        <w:rPr>
          <w:rFonts w:ascii="Times New Roman" w:hAnsi="Times New Roman" w:cs="Times New Roman"/>
          <w:sz w:val="28"/>
          <w:szCs w:val="24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39218077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right"/>
        </w:pPr>
        <w:r>
          <w:fldChar w:fldCharType="begin"/>
        </w:r>
        <w:r>
          <w:instrText xml:space="preserve">PAGE   \* MERGEFORMAT</w:instrText>
        </w:r>
        <w:r>
          <w:rPr>
            <w:rFonts w:ascii="Times New Roman" w:hAnsi="Times New Roman" w:cs="Times New Roman" w:eastAsia="Times New Roman"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sz w:val="24"/>
          </w:rPr>
          <w:t xml:space="preserve">2</w:t>
        </w:r>
        <w:r>
          <w:rPr>
            <w:rFonts w:ascii="Times New Roman" w:hAnsi="Times New Roman" w:cs="Times New Roman" w:eastAsia="Times New Roman"/>
            <w:sz w:val="24"/>
          </w:rPr>
          <w:fldChar w:fldCharType="end"/>
        </w:r>
        <w:r>
          <w:rPr>
            <w:rFonts w:ascii="Times New Roman" w:hAnsi="Times New Roman" w:cs="Times New Roman" w:eastAsia="Times New Roman"/>
            <w:sz w:val="24"/>
          </w:rPr>
          <w:t xml:space="preserve">                                  </w:t>
        </w:r>
        <w:r>
          <w:rPr>
            <w:rFonts w:ascii="Times New Roman" w:hAnsi="Times New Roman" w:cs="Times New Roman" w:eastAsia="Times New Roman"/>
            <w:i/>
            <w:iCs/>
            <w:sz w:val="24"/>
          </w:rPr>
          <w:t xml:space="preserve">продовження додатка </w:t>
        </w:r>
        <w:r>
          <w:rPr>
            <w:i/>
            <w:iCs/>
          </w:rPr>
          <w:t xml:space="preserve"> </w:t>
        </w:r>
        <w:r/>
      </w:p>
    </w:sdtContent>
  </w:sdt>
  <w:p>
    <w:pPr>
      <w:pStyle w:val="843"/>
      <w:jc w:val="right"/>
      <w:rPr>
        <w:i/>
        <w:iCs/>
      </w:rPr>
    </w:pPr>
    <w:r>
      <w:rPr>
        <w:i/>
        <w:iCs/>
      </w:rPr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36"/>
    <w:next w:val="836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4">
    <w:name w:val="Heading 1 Char"/>
    <w:basedOn w:val="837"/>
    <w:link w:val="663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36"/>
    <w:next w:val="836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6">
    <w:name w:val="Heading 2 Char"/>
    <w:basedOn w:val="837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36"/>
    <w:next w:val="836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8">
    <w:name w:val="Heading 3 Char"/>
    <w:basedOn w:val="837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36"/>
    <w:next w:val="836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0">
    <w:name w:val="Heading 4 Char"/>
    <w:basedOn w:val="837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36"/>
    <w:next w:val="836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2">
    <w:name w:val="Heading 5 Char"/>
    <w:basedOn w:val="837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36"/>
    <w:next w:val="836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4">
    <w:name w:val="Heading 6 Char"/>
    <w:basedOn w:val="837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36"/>
    <w:next w:val="836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6">
    <w:name w:val="Heading 7 Char"/>
    <w:basedOn w:val="837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36"/>
    <w:next w:val="836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8">
    <w:name w:val="Heading 8 Char"/>
    <w:basedOn w:val="837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36"/>
    <w:next w:val="836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>
    <w:name w:val="Heading 9 Char"/>
    <w:basedOn w:val="83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No Spacing"/>
    <w:qFormat/>
    <w:uiPriority w:val="1"/>
    <w:pPr>
      <w:spacing w:lineRule="auto" w:line="240" w:after="0" w:before="0"/>
    </w:pPr>
  </w:style>
  <w:style w:type="paragraph" w:styleId="682">
    <w:name w:val="Title"/>
    <w:basedOn w:val="836"/>
    <w:next w:val="836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basedOn w:val="837"/>
    <w:link w:val="682"/>
    <w:uiPriority w:val="10"/>
    <w:rPr>
      <w:sz w:val="48"/>
      <w:szCs w:val="48"/>
    </w:rPr>
  </w:style>
  <w:style w:type="paragraph" w:styleId="684">
    <w:name w:val="Subtitle"/>
    <w:basedOn w:val="836"/>
    <w:next w:val="836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basedOn w:val="837"/>
    <w:link w:val="684"/>
    <w:uiPriority w:val="11"/>
    <w:rPr>
      <w:sz w:val="24"/>
      <w:szCs w:val="24"/>
    </w:rPr>
  </w:style>
  <w:style w:type="paragraph" w:styleId="686">
    <w:name w:val="Quote"/>
    <w:basedOn w:val="836"/>
    <w:next w:val="836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6"/>
    <w:next w:val="836"/>
    <w:link w:val="68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7"/>
    <w:link w:val="843"/>
    <w:uiPriority w:val="99"/>
  </w:style>
  <w:style w:type="character" w:styleId="691">
    <w:name w:val="Footer Char"/>
    <w:basedOn w:val="837"/>
    <w:link w:val="845"/>
    <w:uiPriority w:val="99"/>
  </w:style>
  <w:style w:type="paragraph" w:styleId="692">
    <w:name w:val="Caption"/>
    <w:basedOn w:val="836"/>
    <w:next w:val="83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845"/>
    <w:uiPriority w:val="99"/>
  </w:style>
  <w:style w:type="table" w:styleId="694">
    <w:name w:val="Table Grid Light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3">
    <w:name w:val="List Table 7 Colorful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7">
    <w:name w:val="List Table 7 Colorful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 &amp; Lined - Accent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Bordered &amp; Lined - Accent 1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Bordered &amp; Lined - Accent 2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Bordered &amp; Lined - Accent 3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Bordered &amp; Lined - Accent 4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Bordered &amp; Lined - Accent 5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Bordered &amp; Lined - Accent 6"/>
    <w:basedOn w:val="83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19">
    <w:name w:val="footnote text"/>
    <w:basedOn w:val="836"/>
    <w:link w:val="820"/>
    <w:uiPriority w:val="99"/>
    <w:semiHidden/>
    <w:unhideWhenUsed/>
    <w:rPr>
      <w:sz w:val="18"/>
    </w:rPr>
    <w:pPr>
      <w:spacing w:lineRule="auto" w:line="240" w:after="40"/>
    </w:p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basedOn w:val="837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rPr>
      <w:sz w:val="20"/>
    </w:rPr>
    <w:pPr>
      <w:spacing w:lineRule="auto" w:line="240" w:after="0"/>
    </w:p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basedOn w:val="837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qFormat/>
  </w:style>
  <w:style w:type="character" w:styleId="837" w:default="1">
    <w:name w:val="Default Paragraph Font"/>
    <w:uiPriority w:val="1"/>
    <w:semiHidden/>
    <w:unhideWhenUsed/>
  </w:style>
  <w:style w:type="table" w:styleId="8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9" w:default="1">
    <w:name w:val="No List"/>
    <w:uiPriority w:val="99"/>
    <w:semiHidden/>
    <w:unhideWhenUsed/>
  </w:style>
  <w:style w:type="paragraph" w:styleId="840">
    <w:name w:val="List Paragraph"/>
    <w:basedOn w:val="836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1">
    <w:name w:val="Table Grid"/>
    <w:basedOn w:val="838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2" w:customStyle="1">
    <w:name w:val="docdata"/>
    <w:basedOn w:val="83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43">
    <w:name w:val="Header"/>
    <w:basedOn w:val="836"/>
    <w:link w:val="8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4" w:customStyle="1">
    <w:name w:val="Верхній колонтитул Знак"/>
    <w:basedOn w:val="837"/>
    <w:link w:val="843"/>
    <w:uiPriority w:val="99"/>
  </w:style>
  <w:style w:type="paragraph" w:styleId="845">
    <w:name w:val="Footer"/>
    <w:basedOn w:val="836"/>
    <w:link w:val="8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6" w:customStyle="1">
    <w:name w:val="Нижній колонтитул Знак"/>
    <w:basedOn w:val="837"/>
    <w:link w:val="845"/>
    <w:uiPriority w:val="99"/>
  </w:style>
  <w:style w:type="character" w:styleId="847">
    <w:name w:val="Hyperlink"/>
    <w:basedOn w:val="837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zakon.rada.gov.ua/laws/show/3038-17" TargetMode="External"/><Relationship Id="rId12" Type="http://schemas.openxmlformats.org/officeDocument/2006/relationships/hyperlink" Target="https://zakon.rada.gov.ua/laws/show/3038-17" TargetMode="External"/><Relationship Id="rId13" Type="http://schemas.openxmlformats.org/officeDocument/2006/relationships/hyperlink" Target="https://zakon.rada.gov.ua/laws/show/523-2014-%D1%80?find=1&amp;text=%D1%80%D0%B5%D0%B3%D1%83%D0%BB%D1%8E%D0%B2%D0%B0%D0%BD%D0%BD%D1%8F+%D0%BC%D1%96%D1%81%D1%82%D0%BE%D0%B1%D1%83%D0%B4%D1%96%D0%B2%D0%BD%D0%BE%D1%97" TargetMode="External"/><Relationship Id="rId14" Type="http://schemas.openxmlformats.org/officeDocument/2006/relationships/hyperlink" Target="https://zakon.rada.gov.ua/laws/show/523-2014-%D1%80?find=1&amp;text=%D1%80%D0%B5%D0%B3%D1%83%D0%BB%D1%8E%D0%B2%D0%B0%D0%BD%D0%BD%D1%8F+%D0%BC%D1%96%D1%81%D1%82%D0%BE%D0%B1%D1%83%D0%B4%D1%96%D0%B2%D0%BD%D0%BE%D1%9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5</cp:revision>
  <dcterms:created xsi:type="dcterms:W3CDTF">2024-04-03T11:23:00Z</dcterms:created>
  <dcterms:modified xsi:type="dcterms:W3CDTF">2024-04-30T09:34:10Z</dcterms:modified>
</cp:coreProperties>
</file>