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2 до рішення 4</w:t>
      </w:r>
      <w:r>
        <w:rPr>
          <w:color w:val="000000"/>
          <w:sz w:val="28"/>
          <w:szCs w:val="28"/>
          <w:lang w:val="en-US"/>
        </w:rPr>
        <w:t xml:space="preserve">6</w:t>
      </w:r>
      <w:r>
        <w:rPr>
          <w:color w:val="000000"/>
          <w:sz w:val="28"/>
          <w:szCs w:val="28"/>
        </w:rPr>
        <w:t xml:space="preserve"> сесії Менської міської ради 8 скликання від  </w:t>
      </w:r>
      <w:r>
        <w:rPr>
          <w:color w:val="000000"/>
          <w:sz w:val="28"/>
          <w:szCs w:val="28"/>
          <w:lang w:val="en-US"/>
        </w:rPr>
        <w:t xml:space="preserve">21</w:t>
      </w:r>
      <w:r>
        <w:rPr>
          <w:color w:val="000000"/>
          <w:sz w:val="28"/>
          <w:szCs w:val="28"/>
        </w:rPr>
        <w:t xml:space="preserve">.0</w:t>
      </w:r>
      <w:r>
        <w:rPr>
          <w:color w:val="000000"/>
          <w:sz w:val="28"/>
          <w:szCs w:val="28"/>
          <w:lang w:val="en-US"/>
        </w:rPr>
        <w:t xml:space="preserve">3</w:t>
      </w:r>
      <w:r>
        <w:rPr>
          <w:color w:val="000000"/>
          <w:sz w:val="28"/>
          <w:szCs w:val="28"/>
        </w:rPr>
        <w:t xml:space="preserve">.2023 № 138</w:t>
      </w:r>
      <w:r/>
    </w:p>
    <w:p>
      <w:pPr>
        <w:pStyle w:val="845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ІНФОРМАЦІЙНА КАРТКА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адміністративної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послуги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Реєстрація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місця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дитини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до 14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років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)</w:t>
      </w:r>
      <w:r/>
    </w:p>
    <w:p>
      <w:pPr>
        <w:jc w:val="center"/>
        <w:spacing w:lineRule="auto" w:line="240" w:after="0"/>
        <w:rPr>
          <w:rFonts w:ascii="Times New Roman" w:hAnsi="Times New Roman" w:cs="Verdana"/>
          <w:b/>
          <w:bCs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Відділ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Центр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адміністративних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 ради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val="ru-RU"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Старости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старостинських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округів Менської 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/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720"/>
        <w:gridCol w:w="2541"/>
        <w:gridCol w:w="6804"/>
      </w:tblGrid>
      <w:tr>
        <w:trPr>
          <w:trHeight w:val="40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0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/>
            <w:bookmarkStart w:id="0" w:name="_Hlk86319099"/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Інформація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</w:tr>
      <w:tr>
        <w:trPr>
          <w:trHeight w:val="163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Найменування  суб’єкта надання адміністративної послуги  в якому здійснюється обслуговування суб’єкта звернення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842"/>
              <w:spacing w:lineRule="auto" w:line="276"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842"/>
              <w:spacing w:lineRule="auto" w:line="276"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842"/>
              <w:spacing w:lineRule="auto" w:line="276" w:after="0" w:afterAutospacing="0" w:before="0" w:beforeAutospacing="0"/>
              <w:rPr>
                <w:bCs/>
                <w:lang w:val="uk-UA"/>
              </w:rPr>
            </w:pPr>
            <w:r>
              <w:t xml:space="preserve"> </w:t>
            </w:r>
            <w:r>
              <w:rPr>
                <w:bCs/>
                <w:lang w:val="uk-UA"/>
              </w:rPr>
              <w:t xml:space="preserve">Староста або в.о. старости в </w:t>
            </w:r>
            <w:r>
              <w:rPr>
                <w:bCs/>
                <w:lang w:val="uk-UA"/>
              </w:rPr>
              <w:t xml:space="preserve">старостинських</w:t>
            </w:r>
            <w:r>
              <w:rPr>
                <w:bCs/>
                <w:lang w:val="uk-UA"/>
              </w:rPr>
              <w:t xml:space="preserve">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суб’єкта надання адміністративної послуги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7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Героїв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 м. 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Чернігівська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/>
          </w:p>
          <w:p>
            <w:pPr>
              <w:pStyle w:val="843"/>
              <w:spacing w:lineRule="auto" w:line="276"/>
              <w:rPr>
                <w:rFonts w:ascii="Times New Roman" w:hAnsi="Times New Roman" w:eastAsia="Calibri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15674 с.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Бірківка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Шкільний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 9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15675, с. </w:t>
            </w:r>
            <w:r>
              <w:t xml:space="preserve">Блистова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t xml:space="preserve">Мацуєва</w:t>
            </w:r>
            <w:r>
              <w:t xml:space="preserve"> № 1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15641 с. </w:t>
            </w:r>
            <w:r>
              <w:t xml:space="preserve">Величківка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25 «б»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15632, с. </w:t>
            </w:r>
            <w:r>
              <w:t xml:space="preserve">Волосківці</w:t>
            </w:r>
            <w:r>
              <w:t xml:space="preserve"> </w:t>
            </w:r>
            <w:r>
              <w:t xml:space="preserve">вул</w:t>
            </w:r>
            <w:r>
              <w:t xml:space="preserve">. 1 </w:t>
            </w:r>
            <w:r>
              <w:t xml:space="preserve">Травня</w:t>
            </w:r>
            <w:r>
              <w:t xml:space="preserve"> № 41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15631, с. Городище </w:t>
            </w:r>
            <w:r>
              <w:t xml:space="preserve">вул</w:t>
            </w:r>
            <w:r>
              <w:t xml:space="preserve">. Шевченка № 73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15642, с. </w:t>
            </w:r>
            <w:r>
              <w:t xml:space="preserve">Данилівка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56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15670 с. </w:t>
            </w:r>
            <w:r>
              <w:t xml:space="preserve">Дягова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Покровська</w:t>
            </w:r>
            <w:r>
              <w:t xml:space="preserve"> № 19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15640 с. </w:t>
            </w:r>
            <w:r>
              <w:t xml:space="preserve">Киселівка</w:t>
            </w:r>
            <w:r>
              <w:t xml:space="preserve">, </w:t>
            </w:r>
            <w:r>
              <w:t xml:space="preserve">вул</w:t>
            </w:r>
            <w:r>
              <w:t xml:space="preserve">. Осипенка № 39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15655 с. </w:t>
            </w:r>
            <w:r>
              <w:t xml:space="preserve">Куковичі</w:t>
            </w:r>
            <w:r>
              <w:t xml:space="preserve">, </w:t>
            </w:r>
            <w:r>
              <w:t xml:space="preserve">вул</w:t>
            </w:r>
            <w:r>
              <w:t xml:space="preserve">. Миру № 36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15672 с </w:t>
            </w:r>
            <w:r>
              <w:t xml:space="preserve">Ліски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34 «а»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15652 </w:t>
            </w:r>
            <w:r>
              <w:t xml:space="preserve">смт</w:t>
            </w:r>
            <w:r>
              <w:t xml:space="preserve">. </w:t>
            </w:r>
            <w:r>
              <w:t xml:space="preserve">Макошине</w:t>
            </w:r>
            <w:r>
              <w:t xml:space="preserve">, </w:t>
            </w:r>
            <w:r>
              <w:t xml:space="preserve">вул</w:t>
            </w:r>
            <w:r>
              <w:t xml:space="preserve">. Центральна № 3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15673 с. </w:t>
            </w:r>
            <w:r>
              <w:t xml:space="preserve">Осьмаки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60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15650, с. </w:t>
            </w:r>
            <w:r>
              <w:t xml:space="preserve">Покровське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t xml:space="preserve">Колгоспна</w:t>
            </w:r>
            <w:r>
              <w:t xml:space="preserve"> № 3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15643 с. Садове, </w:t>
            </w:r>
            <w:r>
              <w:t xml:space="preserve">вул</w:t>
            </w:r>
            <w:r>
              <w:t xml:space="preserve">. Перемоги № 2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15662 с. </w:t>
            </w:r>
            <w:r>
              <w:t xml:space="preserve">Семенівка</w:t>
            </w:r>
            <w:r>
              <w:t xml:space="preserve"> </w:t>
            </w:r>
            <w:r>
              <w:t xml:space="preserve">вул</w:t>
            </w:r>
            <w:r>
              <w:t xml:space="preserve">. Перемоги № 9 «а»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15630 с. Синявка, </w:t>
            </w:r>
            <w:r>
              <w:t xml:space="preserve">вул</w:t>
            </w:r>
            <w:r>
              <w:t xml:space="preserve">. </w:t>
            </w:r>
            <w:r>
              <w:t xml:space="preserve">Героїв</w:t>
            </w:r>
            <w:r>
              <w:t xml:space="preserve"> </w:t>
            </w:r>
            <w:r>
              <w:t xml:space="preserve">України</w:t>
            </w:r>
            <w:r>
              <w:t xml:space="preserve"> № 91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15651 с. </w:t>
            </w:r>
            <w:r>
              <w:t xml:space="preserve">Слобідка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Братів</w:t>
            </w:r>
            <w:r>
              <w:t xml:space="preserve"> </w:t>
            </w:r>
            <w:r>
              <w:t xml:space="preserve">Федоренків</w:t>
            </w:r>
            <w:r>
              <w:t xml:space="preserve"> № 26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15661 с. </w:t>
            </w:r>
            <w:r>
              <w:t xml:space="preserve">Стольне</w:t>
            </w:r>
            <w:r>
              <w:t xml:space="preserve">, </w:t>
            </w:r>
            <w:r>
              <w:t xml:space="preserve">вул</w:t>
            </w:r>
            <w:r>
              <w:t xml:space="preserve">. Миру № 10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15676 с. </w:t>
            </w:r>
            <w:r>
              <w:t xml:space="preserve">Ушня</w:t>
            </w:r>
            <w:r>
              <w:t xml:space="preserve">, </w:t>
            </w:r>
            <w:r>
              <w:t xml:space="preserve">пров</w:t>
            </w:r>
            <w:r>
              <w:t xml:space="preserve">. </w:t>
            </w:r>
            <w:r>
              <w:t xml:space="preserve">Шкільний</w:t>
            </w:r>
            <w:r>
              <w:t xml:space="preserve"> № 9</w:t>
            </w:r>
            <w:r/>
          </w:p>
          <w:p>
            <w:pPr>
              <w:pStyle w:val="842"/>
              <w:spacing w:lineRule="auto" w:line="276" w:after="0" w:afterAutospacing="0" w:before="0" w:beforeAutospacing="0"/>
            </w:pPr>
            <w:r>
              <w:t xml:space="preserve">15671 с. </w:t>
            </w:r>
            <w:r>
              <w:t xml:space="preserve">Феськівка</w:t>
            </w:r>
            <w:r>
              <w:t xml:space="preserve">, </w:t>
            </w:r>
            <w:r>
              <w:t xml:space="preserve">вул</w:t>
            </w:r>
            <w:r>
              <w:t xml:space="preserve">. Миру № 25 «а»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часу прийому суб’єктів звернень суб’єктом надання адміністративної послуги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842"/>
              <w:spacing w:lineRule="auto" w:line="276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842"/>
              <w:spacing w:lineRule="auto" w:line="276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842"/>
              <w:spacing w:lineRule="auto" w:line="276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 старости в </w:t>
            </w:r>
            <w:r>
              <w:rPr>
                <w:lang w:val="uk-UA"/>
              </w:rPr>
              <w:t xml:space="preserve">старостинських</w:t>
            </w:r>
            <w:r>
              <w:rPr>
                <w:lang w:val="uk-UA"/>
              </w:rPr>
              <w:t xml:space="preserve"> округах Менської міської територіальної громади</w:t>
            </w:r>
            <w:r/>
          </w:p>
          <w:p>
            <w:pPr>
              <w:pStyle w:val="842"/>
              <w:spacing w:lineRule="auto" w:line="276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842"/>
              <w:spacing w:lineRule="auto" w:line="276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Вихідні                          субота, неділя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842"/>
              <w:spacing w:lineRule="auto" w:line="276" w:after="0" w:afterAutospacing="0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Тел</w:t>
            </w:r>
            <w:r>
              <w:rPr>
                <w:bCs/>
                <w:lang w:val="uk-UA"/>
              </w:rPr>
              <w:t xml:space="preserve">./факс:</w:t>
            </w:r>
            <w:r>
              <w:rPr>
                <w:lang w:val="uk-UA"/>
              </w:rPr>
              <w:t xml:space="preserve">  (093)3836292</w:t>
            </w:r>
            <w:r/>
          </w:p>
          <w:p>
            <w:pPr>
              <w:pStyle w:val="843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e-mail:</w:t>
            </w:r>
            <w:hyperlink r:id="rId11" w:tooltip="mailto:cnapradamena@cg.gov.ua" w:history="1">
              <w:r>
                <w:rPr>
                  <w:rStyle w:val="841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cnapradamena@cg.gov.ua</w:t>
              </w:r>
            </w:hyperlink>
            <w:r/>
            <w:r/>
          </w:p>
          <w:p>
            <w:pPr>
              <w:pStyle w:val="843"/>
              <w:spacing w:lineRule="auto" w:line="27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Веб-сайт: </w:t>
            </w:r>
            <w:hyperlink r:id="rId12" w:tooltip="http://mena.cg.gov.ua/" w:history="1">
              <w:r>
                <w:rPr>
                  <w:rStyle w:val="841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http://mena.cg.gov.ua/</w:t>
              </w:r>
            </w:hyperlink>
            <w:r/>
            <w:bookmarkEnd w:id="0"/>
            <w:r/>
            <w:r/>
          </w:p>
        </w:tc>
      </w:tr>
      <w:tr>
        <w:trPr>
          <w:trHeight w:val="61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0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Нормативні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акти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якими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регламентується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порядок 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умови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свободу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вільний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вибір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місцеве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ind w:firstLine="74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адміністративну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процедуру»</w:t>
            </w:r>
            <w:r/>
          </w:p>
          <w:p>
            <w:pPr>
              <w:ind w:firstLine="742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порядок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виїзду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в’їзду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ind w:firstLine="742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публічних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електронних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публічних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декларування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та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ind w:firstLine="742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державну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речових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прав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нерухоме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майно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їх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обтяжень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ind w:firstLine="742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іпотеку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ind w:firstLine="742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Єдиний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державний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демографічний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документи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підтверджують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громадянство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посвідчують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чи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її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спеціальний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статус».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Кабінету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Міністрів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Постанова КМУ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.20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№ 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Деякі питання декларування і реєстрації місця проживання та ведення реєстрів територіальних громад»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Постанова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Кабінету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Міністрів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04.08.2023 № 820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«Про затвердження Порядку внесення відомостей про адресу задекларованого/зареєстрованого місця проживання (перебув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ання), що знаходиться на тимчасово окупованій Російською Федерацією території України, а також на територіях, на яких ведуться (велися) бойові дії, та внесення змін до порядків, затверджених постановою Кабінету Міністрів України від 7 лютого 2022 р. № 265»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Постанова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Кабінету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Міністрів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04.12.2019 № 1137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«Питання Єдиного державного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вебпорталу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fill="FFFFFF" w:color="auto"/>
              </w:rPr>
              <w:t xml:space="preserve"> електронних послуг та Реєстру адміністративних послуг»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центральних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органів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виконавчої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влади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ind w:firstLine="742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місцевих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органів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виконавчої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влади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органів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місцевого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06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Умови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Підстава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одержання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      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Заява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одного 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батьків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віком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до 14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років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представників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ерелік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умови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реєстрації місця проживання дитини віком до 14 років один з її законних представників подає: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формою  згідно з додатком 3,8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декларування та реєстрації місця проживання (перебування), затвердженого постановою Кабінету Міністрів  України від 7 лютого  2022 р. (далі – Порядок)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відоцтв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народження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крім іноземців та осіб без громадянства, або документ про реєстрацію народження, виданий компетентним органом іноземної держави та легалізований у встановленому порядку, якщо не передбачено міжнародним договором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згода на обов’язковість якого надана Верховною Радою України;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довідку про реєстрацію особи громадянином України  ( у разі здійснення вперше реєстрації місця проживання дитини віком до 14 років , у свідоцтві про народження  якої зазначено , що батьки або один із  батьків є іноземцем або особою без громадянства);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згоду іншого з батьків або законних представників (крім випадків, коли місце проживання дитини визначено відповідним рішенням суду або рішенням органу опіки та піклування);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що посвідчує особу законного представника;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відомості або документ, що підтверджує сплату адміністративного збору.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разі здійснення реєстрації місця 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дитини віком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14 років не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задекларованого /зареєстрованого місця проживання її батьків або інших представників чи одного 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яким проживає дитина додатково подаються :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що підтверджують: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проживання (перебування) в житлі, зокрема свідоцтво про право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ордер, договір оренди (найму, піднайму), договір найму житла у гуртожитку (для студентів), рішення суду, яке набрало законної 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 надання особі права  на вселення до житлового приміщення, визнан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за особою права користування житловим приміщенням або права власності на нього, права на реєстрацію місця проживання  або інші підтверджуючі документи. У разі відсутності зазначених документів реєстрація місця проживання (перебування) особи здійснюється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згодою власника (співвласника) житла, наймача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членів його сім’ї, уповноваженої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житла (зазначені документи та згода не вимагаються під час реєстрації місця проживання малолітніх дітей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задекларованого/зареєстрованого  місця  проживання(перебування) батьків або законних представників або одного з них;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перебування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 взяття на облік  у спеціалізованій соціальній  установі, іншого надавача соціальних послуг з проживанням  (довідка про прийняття на обслуговування в спеціалізованій соціальній установі, закладі  для бездомних осіб, іншого надавача соціальних послуг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формою згідно з додатком 4 до Порядку), копія  посвідчення про взяття на облік бездомної особи, форма якого затверджується Міністерством  соціальної політики (у разі здійснення реєстрації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відповідної установи, закладу);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разі перебування житла в іпотеці, довірчій власності як способу забезпечення виконання зобов’язань для реєстрації місця проживання додатково подається письмова згоді відповідного іпотекодержателя або довірчого власника.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Згода батьків або інших законних представників може бути надана у присутності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особи, яка приймає заяву про реєстрацію місця проживання, або засвідчена нотаріально в установленому законодавством порядку.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разі влаштування дитини-сироти, дитини, позбавленої батьківського піклування, до закладу  для дітей-сиріт та дітей, позбавлених батьківського піклування, прийомної сім’ї місце проживання такої дитини реєструється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закладу, дитячого будинку сімейного типу, житла проживання прийомної сім’ї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Подання заяви про реєстрацію місця проживання або зміну місця проживання дитини-сироти, дитини, позбавленої батьківського піклування, покладається на органи опіки та піклування за місцем проживання такої дитини.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разі коли реєстрація місця проживання здійснюється   одночасно із зняттям з попереднього місця проживання (перебування), окрема заява про зняття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задекларованого/зареєстрованого місця проживання не подається.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Порядок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спосіб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   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Заявник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одержання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звертається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 органу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числі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через центр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повноваження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якого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поширюється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відповідну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адміністративно-територіальну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одиницю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Платність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        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є платною.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Нормативно-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правові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підставі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яких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стягується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плата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ind w:firstLine="589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публічних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електронних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публічних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декларування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та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ind w:firstLine="589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ind w:firstLine="58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Розмір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та порядок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плати за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ind w:firstLine="58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сп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равляється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дміністративний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збір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розмірі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</w:t>
            </w:r>
            <w:r/>
          </w:p>
          <w:p>
            <w:pPr>
              <w:pStyle w:val="844"/>
              <w:numPr>
                <w:ilvl w:val="0"/>
                <w:numId w:val="1"/>
              </w:numPr>
              <w:ind w:left="22" w:firstLine="589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розмірі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1,5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відсотка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/>
          </w:p>
          <w:p>
            <w:pPr>
              <w:ind w:left="22" w:firstLine="589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прожиткового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мінімуму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встановленого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працездатних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осіб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на 1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січня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календарного року – за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разі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особи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встановленого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Законом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публічних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електронних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публічних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декларування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та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далі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– Закон) строку;</w:t>
            </w:r>
            <w:r/>
          </w:p>
          <w:p>
            <w:pPr>
              <w:pStyle w:val="844"/>
              <w:numPr>
                <w:ilvl w:val="0"/>
                <w:numId w:val="1"/>
              </w:numPr>
              <w:ind w:left="22" w:firstLine="58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2,5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відсотка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прожиткового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/>
          </w:p>
          <w:p>
            <w:pPr>
              <w:ind w:left="22" w:firstLine="58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мінімуму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встановленого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працездатних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осіб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на 1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січня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календарного року – за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разі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порушенням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встановленого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Законом строку.</w:t>
            </w:r>
            <w:r/>
          </w:p>
          <w:p>
            <w:pPr>
              <w:ind w:left="22" w:firstLine="58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одночасно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із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зняттям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попереднього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збір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правляєть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лише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за одну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).</w:t>
            </w:r>
            <w:r/>
          </w:p>
          <w:p>
            <w:pPr>
              <w:ind w:firstLine="58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збір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справляється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-сироти,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позбавленої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батьківського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піклування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закладі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сиріт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позбавлених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батьківського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піклування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дитячому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будинку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сімейного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типу,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прийомної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сім'ї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Розрахунковий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рахунок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плати за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р/р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658999980334179879000025659,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отримувач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рада (ОТГ м. Мена) код ЄДРПОУ 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37972475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; Казначейство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(ЕАП) МФО -899998; код платежу - 22012500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Строк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      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 день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законного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представника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віком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до 14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років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чи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день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центру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представника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спеціалізованої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установи, закладу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даних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органу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Перелік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підстав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відмови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 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Орган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відмовляє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разі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коли: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- у Державному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речових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прав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нерухоме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майно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містяться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обтяження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яке особа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реєструє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стосуються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заборони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), у такому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житлі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іпотеці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довірчій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власності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як способу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зобов'язань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( 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разі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відсутності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письмової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згоди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відповідного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іпотекодержателя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довірчого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власника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 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Державного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речових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прав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нерухоме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майно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відповідають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відомосятм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зазначеним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особою документах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даних;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 - особа не подала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подала не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повному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обсязі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необхідні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  -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особою документах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відомостях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містяться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недостовірні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є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недійсними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крім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випадку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передбаченого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пунктом 53 Порядку)*,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строк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паспортного документа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іноземця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чи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особи без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громадянства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завонних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підставах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проживають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території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закінчився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-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звернулася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дитина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віком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до 14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років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особа, не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уповноважена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  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житлу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якому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реєструє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), не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присвоєна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адреса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встановленому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порядку;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  - за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адресою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якому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особа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реєструє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своє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наявний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об'єкт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нерухомого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майна,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який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належить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   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задекларованого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зареєстрованого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батьків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представників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віком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до 14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років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відповідають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відомостям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зазначеним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заяві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поданій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стосовно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може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підставою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відмови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відсутність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Державному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речових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прав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нерухоме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майно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відомостей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житло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якому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реєструється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 особи.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  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Результат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віком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до 14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років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відмову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відповіді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ind w:firstLine="601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асоб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ами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поштового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телефонного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електронного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зв’язку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80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Батьки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інші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законні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представники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зобов'язані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зареєструвати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новонародженої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трьох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місяців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 дня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державної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її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народження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Іноземець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, особа без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громадянства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зобов'язані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задекларувати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зареєструвати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своє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 та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до 14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років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( у тому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числі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новонароджених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), батьками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іншими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законними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представниками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вони є, 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календарних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з дня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постійне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тимчасове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біженця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особи, яка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потребує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додаткового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посвідчення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особи,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якій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надано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тимчасовий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захист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зняття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задекларованого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зареєстрованого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Задекларованим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зареєстрованим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віком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до 10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років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є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задеклароване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зареєстроване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її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батьків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представників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чи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одного з них,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дитина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згодою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іншого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батьків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представників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Задекларованим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зареєстрованим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віком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10  до 14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років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є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задеклароване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зареєстроване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перебування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її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батьків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представників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чи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одного з них,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дитин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згодою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іншого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батьків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представників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інше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не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встановлено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згодою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дитиною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та  батьками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усиновлювачами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опікуном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організацією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яка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виконує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стосовно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функції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опікуна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Видані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компетентини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органами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іноземної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держави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документи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подаються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засвідчуються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установленому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порядку,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інше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не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передбачено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міжнародними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договорами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Такі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документи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подаються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з перекладом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українську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мову,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засвідченим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нотаріально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           На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період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тимчасової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окупації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Росйською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Федерацією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території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а також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періож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віднесення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у порядку,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встновленому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Кабінетом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Міністрів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територіальних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громад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територій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ведуться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велися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бойові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зареєстрованим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задекларованим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вважати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зареєстроване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задеклароване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місце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її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батьків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законних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представників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чи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одного з них, з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яким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проживає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дитина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Відомості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зареєстроване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тимчасово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окупованій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Російською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Федерацією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території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а також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територіях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ведуться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велися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бойові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визначених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у порядку,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всьановленому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Кабінетом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Міністрів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Укрїни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заявою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батьків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законних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представників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чи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одного з них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вносяться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реєстру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теритріальної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відповідним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  <w:t xml:space="preserve"> органом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час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декларування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дитини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чи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бажанням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батьків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представників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чи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одного з них,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якщо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інформація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таку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дитину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міститься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реєстрі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цієї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цієї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грмадяни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       </w:t>
            </w:r>
            <w:r/>
          </w:p>
          <w:p>
            <w:pPr>
              <w:ind w:firstLine="601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“Центр надання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адміністративних послуг”                                                            Валерій РАЧКОВ  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850" w:bottom="850" w:left="1417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79417572"/>
      <w:docPartObj>
        <w:docPartGallery w:val="Page Numbers (Top of Page)"/>
        <w:docPartUnique w:val="true"/>
      </w:docPartObj>
      <w:rPr/>
    </w:sdtPr>
    <w:sdtContent>
      <w:p>
        <w:pPr>
          <w:pStyle w:val="84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  <w:p>
        <w:pPr>
          <w:pStyle w:val="846"/>
          <w:jc w:val="right"/>
        </w:pPr>
        <w:r>
          <w:rPr>
            <w:i/>
            <w:iCs/>
          </w:rPr>
          <w:t xml:space="preserve">Продовження додатка</w:t>
        </w:r>
        <w:r/>
      </w:p>
    </w:sdtContent>
  </w:sdt>
  <w:p>
    <w:pPr>
      <w:pStyle w:val="8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4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0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7"/>
    <w:next w:val="837"/>
    <w:link w:val="6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5">
    <w:name w:val="Heading 1 Char"/>
    <w:basedOn w:val="838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37"/>
    <w:next w:val="837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7">
    <w:name w:val="Heading 2 Char"/>
    <w:basedOn w:val="838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37"/>
    <w:next w:val="837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9">
    <w:name w:val="Heading 3 Char"/>
    <w:basedOn w:val="838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37"/>
    <w:next w:val="837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1">
    <w:name w:val="Heading 4 Char"/>
    <w:basedOn w:val="838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37"/>
    <w:next w:val="837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3">
    <w:name w:val="Heading 5 Char"/>
    <w:basedOn w:val="838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37"/>
    <w:next w:val="837"/>
    <w:link w:val="6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5">
    <w:name w:val="Heading 6 Char"/>
    <w:basedOn w:val="83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37"/>
    <w:next w:val="837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7">
    <w:name w:val="Heading 7 Char"/>
    <w:basedOn w:val="838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37"/>
    <w:next w:val="837"/>
    <w:link w:val="6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9">
    <w:name w:val="Heading 8 Char"/>
    <w:basedOn w:val="838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37"/>
    <w:next w:val="837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>
    <w:name w:val="Heading 9 Char"/>
    <w:basedOn w:val="838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Title"/>
    <w:basedOn w:val="837"/>
    <w:next w:val="837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>
    <w:name w:val="Title Char"/>
    <w:basedOn w:val="838"/>
    <w:link w:val="682"/>
    <w:uiPriority w:val="10"/>
    <w:rPr>
      <w:sz w:val="48"/>
      <w:szCs w:val="48"/>
    </w:rPr>
  </w:style>
  <w:style w:type="paragraph" w:styleId="684">
    <w:name w:val="Subtitle"/>
    <w:basedOn w:val="837"/>
    <w:next w:val="837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>
    <w:name w:val="Subtitle Char"/>
    <w:basedOn w:val="838"/>
    <w:link w:val="684"/>
    <w:uiPriority w:val="11"/>
    <w:rPr>
      <w:sz w:val="24"/>
      <w:szCs w:val="24"/>
    </w:rPr>
  </w:style>
  <w:style w:type="paragraph" w:styleId="686">
    <w:name w:val="Quote"/>
    <w:basedOn w:val="837"/>
    <w:next w:val="837"/>
    <w:link w:val="687"/>
    <w:qFormat/>
    <w:uiPriority w:val="29"/>
    <w:rPr>
      <w:i/>
    </w:rPr>
    <w:pPr>
      <w:ind w:left="720" w:right="720"/>
    </w:p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7"/>
    <w:next w:val="837"/>
    <w:link w:val="68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8"/>
    <w:link w:val="846"/>
    <w:uiPriority w:val="99"/>
  </w:style>
  <w:style w:type="character" w:styleId="691">
    <w:name w:val="Footer Char"/>
    <w:basedOn w:val="838"/>
    <w:link w:val="848"/>
    <w:uiPriority w:val="99"/>
  </w:style>
  <w:style w:type="paragraph" w:styleId="692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848"/>
    <w:uiPriority w:val="99"/>
  </w:style>
  <w:style w:type="table" w:styleId="694">
    <w:name w:val="Table Grid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 &amp; 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Bordered &amp; 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Bordered &amp; 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Bordered &amp; 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Bordered &amp; 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Bordered &amp; 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Bordered &amp; 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4">
    <w:name w:val="Bordered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6">
    <w:name w:val="Bordered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7">
    <w:name w:val="Bordered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8">
    <w:name w:val="Bordered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9">
    <w:name w:val="Bordered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pPr>
      <w:spacing w:lineRule="auto" w:line="276" w:after="200"/>
    </w:p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>
    <w:name w:val="Hyperlink"/>
    <w:basedOn w:val="838"/>
    <w:semiHidden/>
    <w:unhideWhenUsed/>
    <w:rPr>
      <w:color w:val="0000FF"/>
      <w:u w:val="single"/>
    </w:rPr>
  </w:style>
  <w:style w:type="paragraph" w:styleId="842">
    <w:name w:val="Normal (Web)"/>
    <w:basedOn w:val="837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43">
    <w:name w:val="No Spacing"/>
    <w:qFormat/>
    <w:uiPriority w:val="1"/>
    <w:rPr>
      <w:rFonts w:ascii="Calibri" w:hAnsi="Calibri" w:cs="Times New Roman" w:eastAsia="Times New Roman"/>
      <w:lang w:val="ru-RU" w:eastAsia="zh-CN"/>
    </w:rPr>
    <w:pPr>
      <w:spacing w:lineRule="auto" w:line="240" w:after="0"/>
    </w:pPr>
  </w:style>
  <w:style w:type="paragraph" w:styleId="844">
    <w:name w:val="List Paragraph"/>
    <w:basedOn w:val="837"/>
    <w:qFormat/>
    <w:uiPriority w:val="34"/>
    <w:pPr>
      <w:contextualSpacing w:val="true"/>
      <w:ind w:left="720"/>
    </w:pPr>
  </w:style>
  <w:style w:type="paragraph" w:styleId="845" w:customStyle="1">
    <w:name w:val="docdata"/>
    <w:basedOn w:val="83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6">
    <w:name w:val="Header"/>
    <w:basedOn w:val="837"/>
    <w:link w:val="84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7" w:customStyle="1">
    <w:name w:val="Верхній колонтитул Знак"/>
    <w:basedOn w:val="838"/>
    <w:link w:val="846"/>
    <w:uiPriority w:val="99"/>
  </w:style>
  <w:style w:type="paragraph" w:styleId="848">
    <w:name w:val="Footer"/>
    <w:basedOn w:val="837"/>
    <w:link w:val="84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9" w:customStyle="1">
    <w:name w:val="Нижній колонтитул Знак"/>
    <w:basedOn w:val="838"/>
    <w:link w:val="84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cnapradamena@cg.gov.ua" TargetMode="External"/><Relationship Id="rId12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YVMikrukova</dc:creator>
  <cp:keywords/>
  <dc:description/>
  <cp:lastModifiedBy>СТАЛЬНИЧЕНКО Юрій Валерійович</cp:lastModifiedBy>
  <cp:revision>4</cp:revision>
  <dcterms:created xsi:type="dcterms:W3CDTF">2024-03-07T10:36:00Z</dcterms:created>
  <dcterms:modified xsi:type="dcterms:W3CDTF">2024-03-21T17:15:05Z</dcterms:modified>
</cp:coreProperties>
</file>