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528"/>
        <w:jc w:val="both"/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Додаток </w:t>
      </w:r>
      <w:r/>
    </w:p>
    <w:p>
      <w:pPr>
        <w:ind w:left="5528"/>
        <w:jc w:val="both"/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до рішення 45</w:t>
      </w:r>
      <w:r>
        <w:rPr>
          <w:rFonts w:ascii="Times New Roman" w:hAnsi="Times New Roman" w:eastAsia="Times New Roman"/>
          <w:color w:val="000000"/>
          <w:sz w:val="28"/>
        </w:rPr>
        <w:t xml:space="preserve"> сесії Менської міської ради 8 скликання</w:t>
      </w:r>
      <w:r/>
    </w:p>
    <w:p>
      <w:pPr>
        <w:ind w:left="5528"/>
        <w:jc w:val="both"/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28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лютого 2024 року №128</w:t>
      </w:r>
      <w:r/>
    </w:p>
    <w:p>
      <w:pPr>
        <w:ind w:left="5669"/>
        <w:jc w:val="both"/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left="5669" w:hanging="141"/>
        <w:jc w:val="both"/>
        <w:rPr>
          <w:rFonts w:ascii="Times New Roman" w:hAnsi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Додаток  </w:t>
      </w:r>
      <w:r/>
    </w:p>
    <w:p>
      <w:pPr>
        <w:ind w:left="5528"/>
        <w:jc w:val="both"/>
        <w:rPr>
          <w:rFonts w:ascii="Times New Roman" w:hAnsi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до Програми «Питна вода Менської міської територіальної громади на 2022-2024 роки»</w:t>
      </w:r>
      <w:r>
        <w:rPr>
          <w:rFonts w:ascii="Times New Roman" w:hAnsi="Times New Roman" w:eastAsia="Times New Roman"/>
          <w:sz w:val="28"/>
        </w:rPr>
        <w:t xml:space="preserve"> (нова редакція)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</w:rPr>
      </w:r>
      <w:r/>
    </w:p>
    <w:p>
      <w:pPr>
        <w:jc w:val="center"/>
        <w:rPr>
          <w:rFonts w:ascii="Times New Roman" w:hAnsi="Times New Roman" w:eastAsia="Times New Roman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/>
          <w:sz w:val="28"/>
          <w:szCs w:val="28"/>
        </w:rPr>
        <w:t xml:space="preserve">Основні заходи реалізації  Програми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Питна вода Менської міської територіальної громадина 2022-2024 роки»</w:t>
      </w:r>
      <w:r/>
    </w:p>
    <w:p>
      <w:pPr>
        <w:ind w:firstLine="567"/>
        <w:jc w:val="both"/>
        <w:rPr>
          <w:rFonts w:ascii="Times New Roman" w:hAnsi="Times New Roman" w:eastAsia="Times New Roman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</w:rPr>
      </w:r>
      <w:r/>
    </w:p>
    <w:tbl>
      <w:tblPr>
        <w:tblW w:w="0" w:type="auto"/>
        <w:tblInd w:w="108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601"/>
        <w:gridCol w:w="2693"/>
        <w:gridCol w:w="1100"/>
        <w:gridCol w:w="2409"/>
        <w:gridCol w:w="1500"/>
        <w:gridCol w:w="1368"/>
      </w:tblGrid>
      <w:tr>
        <w:trPr>
          <w:trHeight w:val="711"/>
          <w:tblHeader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sz w:val="18"/>
              </w:rPr>
              <w:t xml:space="preserve">№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Зміст заходу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Термін виконання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Відповідальні виконавці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Обсяг фінансування, тис. грн.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18"/>
              </w:rPr>
              <w:t xml:space="preserve">Джерела фінансування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Перевірка технічного стану діючих об'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єктів водопровідно-каналізаційного господарства; 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проведення технічного та енергетичного аудиту систем водопостачання та водовідведення;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проведення незалежної оцінки вартості майна мереж водопостачання та водовідведення.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2022-2024 роки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Менська міська рада,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 підприємства, що надають послуги з водопостачання та водовідведення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Всього 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310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,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0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 з них: </w:t>
            </w:r>
            <w:r/>
          </w:p>
          <w:p>
            <w:pPr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2022 р.-0</w:t>
            </w:r>
            <w:r/>
          </w:p>
          <w:p>
            <w:pPr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2023 р.- 150 </w:t>
            </w:r>
            <w:r/>
          </w:p>
          <w:p>
            <w:pPr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2024 р. - 160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Місцевий бюджет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Купівля та заміна глибинних насосів на артезіанських свердловинах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та КНС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(за потребою), встановлення засобів комерційного обліку (8 шт);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проведення аварійно-відновлювальних робіт;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гідродинамічна прочистка каналізації;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заміна електродвигуна на КНС та очисних спору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дах;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2022-2024 роки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Менська міська рада, підприємства, що надають послуги з водопостачання та водовідведення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Всього: 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1600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,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0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 з них: </w:t>
            </w:r>
            <w:r/>
          </w:p>
          <w:p>
            <w:pPr>
              <w:jc w:val="center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2022 р. – 300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2023 р. – 750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2024 р. – 550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Місцевий бюджет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Встановлення огорож території артезіанських свердловин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2022-2024 роки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/>
          </w:tcPr>
          <w:p>
            <w:pPr>
              <w:jc w:val="center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Менська міська 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рада, підприємства, що надають послуги з водопостачання та водовідведення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Всього: 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161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,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0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 з них: </w:t>
            </w:r>
            <w:r/>
          </w:p>
          <w:p>
            <w:pPr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2022 р. 0</w:t>
            </w:r>
            <w:r/>
          </w:p>
          <w:p>
            <w:pPr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2023 р.-80</w:t>
            </w:r>
            <w:r/>
          </w:p>
          <w:p>
            <w:pPr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2024 р.-81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Місцевий бюджет</w:t>
            </w:r>
            <w:r/>
          </w:p>
        </w:tc>
      </w:tr>
      <w:tr>
        <w:trPr>
          <w:trHeight w:val="128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Оформлення земельних ділянок під свердловинами та водонапірними баштами на території Менської територіальної громади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2022-2024 роки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Всього: 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148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,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0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з них: </w:t>
            </w:r>
            <w:r/>
          </w:p>
          <w:p>
            <w:pPr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2022 р. -30</w:t>
            </w:r>
            <w:r/>
          </w:p>
          <w:p>
            <w:pPr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2023 р.-58 2024 р.-60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Місцевий бюджет</w:t>
            </w:r>
            <w:r/>
          </w:p>
        </w:tc>
      </w:tr>
      <w:tr>
        <w:trPr>
          <w:trHeight w:val="14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Відбір аналізів та дослідження якості питної води, проведення заходів з паспортизації громадських колодязів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2022-2024 роки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Менська міська рада, підприємства, що надають послуги з водопостачання та водовідведення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Всього: 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192,392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, з них: </w:t>
            </w:r>
            <w:r/>
          </w:p>
          <w:p>
            <w:p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2022 р. -20</w:t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2023 р.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-135,85 </w:t>
            </w:r>
            <w:r/>
          </w:p>
          <w:p>
            <w:pPr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2024 р.-36,542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Місцевий бюджет</w:t>
            </w:r>
            <w:r/>
          </w:p>
        </w:tc>
      </w:tr>
      <w:tr>
        <w:trPr>
          <w:cantSplit/>
          <w:trHeight w:val="3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Виготовлення ПКД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2022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Всього: 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100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Місцевий бюджет</w:t>
            </w:r>
            <w:r/>
          </w:p>
        </w:tc>
      </w:tr>
      <w:tr>
        <w:trPr>
          <w:trHeight w:val="127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7</w:t>
            </w:r>
            <w:r/>
          </w:p>
          <w:p>
            <w:pPr>
              <w:spacing w:before="2806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 xml:space="preserve">7.1</w:t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 xml:space="preserve">7.2</w:t>
            </w:r>
            <w:r/>
          </w:p>
          <w:p>
            <w:pPr>
              <w:spacing w:before="907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 xml:space="preserve">7.3</w:t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before="136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 xml:space="preserve">7.4</w:t>
            </w:r>
            <w:r/>
          </w:p>
          <w:p>
            <w:pPr>
              <w:jc w:val="center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Реконструкція комплексу очисних споруд м.Мена, який розташований за межами міста Мена, Менської міської територіальної громади, Корюківського району, Чернігівської області</w:t>
            </w:r>
            <w:r/>
          </w:p>
          <w:p>
            <w:pPr>
              <w:jc w:val="both"/>
              <w:rPr>
                <w:rFonts w:ascii="Times New Roman" w:hAnsi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Оплата технічних умов</w:t>
            </w:r>
            <w:r/>
          </w:p>
          <w:p>
            <w:pPr>
              <w:jc w:val="both"/>
              <w:rPr>
                <w:rFonts w:ascii="Times New Roman" w:hAnsi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Виготовлення проєктно-кошторисної документації</w:t>
            </w:r>
            <w:r/>
          </w:p>
          <w:p>
            <w:pPr>
              <w:jc w:val="both"/>
              <w:rPr>
                <w:rFonts w:ascii="Times New Roman" w:hAnsi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Проведення е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кспертизи проєктно-кошторисної документації</w:t>
            </w:r>
            <w:r/>
          </w:p>
          <w:p>
            <w:pPr>
              <w:jc w:val="both"/>
              <w:rPr>
                <w:rFonts w:ascii="Times New Roman" w:hAnsi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Вартість будівельних робіт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2022-2024 роки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Всього: 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20100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,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0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 з них: 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2023 р.-</w:t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spacing w:before="227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20,0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50,0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30,0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spacing w:before="147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17000,0</w:t>
            </w:r>
            <w:r/>
          </w:p>
          <w:p>
            <w:pPr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2024 р.-3000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Державний бюджет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 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Місцевий бюджет</w:t>
            </w:r>
            <w:r/>
          </w:p>
        </w:tc>
      </w:tr>
      <w:tr>
        <w:trPr>
          <w:trHeight w:val="130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1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Проведення ліквідаційного санітарно-технічного тампонажу недіючих та безхазяйних  свердловини (20 шт.)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2022-2024 роки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Всього: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 3000,0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 з них: </w:t>
            </w:r>
            <w:r/>
          </w:p>
          <w:p>
            <w:pPr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2022 р. -3000</w:t>
            </w:r>
            <w:r/>
          </w:p>
          <w:p>
            <w:pPr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2023 р.</w:t>
            </w:r>
            <w:r/>
          </w:p>
          <w:p>
            <w:pPr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2024 р.-200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Державний бюджет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Обласний бюджет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Місцевий бюджет</w:t>
            </w:r>
            <w:r/>
          </w:p>
        </w:tc>
      </w:tr>
      <w:tr>
        <w:trPr>
          <w:trHeight w:val="2832"/>
        </w:trPr>
        <w:tc>
          <w:tcPr>
            <w:tcBorders>
              <w:left w:val="single" w:color="000000" w:sz="8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1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9</w:t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before="232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9.1</w:t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9.2</w:t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9.3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Реконструкція вуличних водопровідних мереж 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Виконання топографічної зйомки  М 1:500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Виготовлення проєктно-кошторисної документації та проведення експертизи</w:t>
            </w:r>
            <w:r/>
          </w:p>
          <w:p>
            <w:pPr>
              <w:jc w:val="both"/>
              <w:rPr>
                <w:rFonts w:ascii="Times New Roman" w:hAnsi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Вартість будівельних робіт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2023 рік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Всього: 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7330,5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 з них: 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2023 р.-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spacing w:before="249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50,5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280,0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7000,0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Державний бюджет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 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Місцевий бюджет</w:t>
            </w:r>
            <w:r/>
          </w:p>
        </w:tc>
      </w:tr>
      <w:tr>
        <w:trPr>
          <w:trHeight w:val="1503"/>
        </w:trPr>
        <w:tc>
          <w:tcPr>
            <w:tcBorders>
              <w:left w:val="single" w:color="000000" w:sz="8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1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Технічна інвентаризація з виготовлення технічних паспортів на об’єкти водопостачання та водовідведення </w:t>
            </w:r>
            <w:r/>
          </w:p>
          <w:p>
            <w:pPr>
              <w:jc w:val="both"/>
              <w:rPr>
                <w:rFonts w:ascii="Times New Roman" w:hAnsi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 2023-2024 роки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Всього: </w:t>
            </w:r>
            <w:r>
              <w:rPr>
                <w:rFonts w:ascii="Times New Roman" w:hAnsi="Times New Roman" w:eastAsia="Times New Roman"/>
                <w:b/>
                <w:sz w:val="22"/>
              </w:rPr>
              <w:t xml:space="preserve">100,0 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з них: 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2023 р.- 50,0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2024 р. -50,0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Державний бюджет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 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Місцевий бюджет</w:t>
            </w:r>
            <w:r/>
          </w:p>
        </w:tc>
      </w:tr>
      <w:tr>
        <w:trPr>
          <w:cantSplit/>
          <w:trHeight w:val="1167"/>
        </w:trPr>
        <w:tc>
          <w:tcPr>
            <w:tcBorders>
              <w:left w:val="single" w:color="000000" w:sz="8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vMerge w:val="restart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Витрати на оплату сертифіката готовності об’єкта до експлуатації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2023-2024 роки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0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Всього: 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27,0 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з них: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2023 р. - 13,0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2024 р. – 14,0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Державний бюджет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Місцевий бюджет</w:t>
            </w:r>
            <w:r/>
          </w:p>
        </w:tc>
      </w:tr>
      <w:tr>
        <w:trPr>
          <w:trHeight w:val="1167"/>
        </w:trPr>
        <w:tc>
          <w:tcPr>
            <w:tcBorders>
              <w:left w:val="single" w:color="000000" w:sz="8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1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12</w:t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spacing w:before="232"/>
              <w:rPr>
                <w:rFonts w:ascii="Times New Roman" w:hAnsi="Times New Roman" w:eastAsia="Times New Roman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</w:r>
            <w:r/>
          </w:p>
          <w:p>
            <w:pPr>
              <w:spacing w:before="232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12.1</w:t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12.2</w:t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12.3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Реконструкція вуличних каналізаційних мереж 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Виконання топографічної зйомки  М 1:500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Виготовлення проєктно-кошторисної документації та проведення експертизи</w:t>
            </w:r>
            <w:r/>
          </w:p>
          <w:p>
            <w:pPr>
              <w:jc w:val="both"/>
              <w:rPr>
                <w:rFonts w:ascii="Times New Roman" w:hAnsi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Вартість будівельних робіт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2024 рік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Всього: 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350,0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 з них: 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2024 р.-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spacing w:before="249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50,0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70,0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230,0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Державний бюджет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 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Місцевий бюджет</w:t>
            </w:r>
            <w:r/>
          </w:p>
        </w:tc>
      </w:tr>
      <w:tr>
        <w:trPr>
          <w:trHeight w:val="1167"/>
        </w:trPr>
        <w:tc>
          <w:tcPr>
            <w:tcBorders>
              <w:left w:val="single" w:color="000000" w:sz="8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1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4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Виконання виконавчої контрольної-геодезичної зйомки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М 1:500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2024 рік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0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Всього: </w:t>
            </w: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25,0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2024 р. – 25,0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Державний бюджет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 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Місцевий бюджет</w:t>
            </w:r>
            <w:r/>
          </w:p>
        </w:tc>
      </w:tr>
    </w:tbl>
    <w:p>
      <w:pPr>
        <w:jc w:val="both"/>
        <w:tabs>
          <w:tab w:val="left" w:pos="567" w:leader="none"/>
          <w:tab w:val="left" w:pos="6803" w:leader="none"/>
        </w:tabs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tabs>
          <w:tab w:val="left" w:pos="567" w:leader="none"/>
          <w:tab w:val="left" w:pos="6803" w:leader="none"/>
        </w:tabs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Начальник відділу житлово-комунального</w:t>
      </w:r>
      <w:r/>
    </w:p>
    <w:p>
      <w:pPr>
        <w:jc w:val="both"/>
        <w:tabs>
          <w:tab w:val="left" w:pos="567" w:leader="none"/>
          <w:tab w:val="left" w:pos="6803" w:leader="none"/>
        </w:tabs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господарства, енергоефективності та </w:t>
      </w:r>
      <w:r/>
    </w:p>
    <w:p>
      <w:pPr>
        <w:jc w:val="both"/>
        <w:tabs>
          <w:tab w:val="left" w:pos="567" w:leader="none"/>
          <w:tab w:val="left" w:pos="6803" w:leader="none"/>
        </w:tabs>
        <w:rPr>
          <w:rFonts w:ascii="Times New Roman" w:hAnsi="Times New Roman" w:eastAsia="Times New Roman"/>
          <w:bCs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комунального майна</w:t>
      </w:r>
      <w:r>
        <w:rPr>
          <w:rFonts w:ascii="Times New Roman" w:hAnsi="Times New Roman" w:eastAsia="Times New Roman"/>
          <w:bCs/>
          <w:sz w:val="28"/>
          <w:szCs w:val="28"/>
        </w:rPr>
        <w:tab/>
        <w:t xml:space="preserve">Ірина ЄКИМЕНКО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right"/>
      <w:rPr>
        <w:rFonts w:ascii="Times New Roman" w:hAnsi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rPr>
        <w:rFonts w:ascii="Times New Roman" w:hAnsi="Times New Roman" w:eastAsia="Times New Roman"/>
        <w:i/>
        <w:sz w:val="24"/>
      </w:rPr>
      <w:fldChar w:fldCharType="separate"/>
    </w:r>
    <w:r>
      <w:rPr>
        <w:rFonts w:ascii="Times New Roman" w:hAnsi="Times New Roman" w:eastAsia="Times New Roman"/>
        <w:i/>
        <w:sz w:val="24"/>
      </w:rPr>
      <w:t xml:space="preserve">2</w:t>
    </w:r>
    <w:r>
      <w:rPr>
        <w:rFonts w:ascii="Times New Roman" w:hAnsi="Times New Roman" w:eastAsia="Times New Roman"/>
        <w:i/>
        <w:sz w:val="24"/>
      </w:rPr>
      <w:fldChar w:fldCharType="end"/>
    </w:r>
    <w:r>
      <w:rPr>
        <w:rFonts w:ascii="Times New Roman" w:hAnsi="Times New Roman" w:eastAsia="Times New Roman"/>
        <w:i/>
        <w:sz w:val="24"/>
      </w:rPr>
      <w:t xml:space="preserve">                                   продовження додатка</w:t>
    </w:r>
    <w:r/>
  </w:p>
  <w:p>
    <w:pPr>
      <w:pStyle w:val="742"/>
      <w:jc w:val="right"/>
      <w:rPr>
        <w:rFonts w:ascii="Times New Roman" w:hAnsi="Times New Roman" w:eastAsia="Times New Roman"/>
        <w:i/>
        <w:sz w:val="24"/>
      </w:rPr>
    </w:pPr>
    <w:r>
      <w:rPr>
        <w:rFonts w:ascii="Times New Roman" w:hAnsi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paragraph" w:styleId="691">
    <w:name w:val="List Paragraph"/>
    <w:rPr>
      <w:lang w:val="ru-RU"/>
    </w:rPr>
    <w:pPr>
      <w:contextualSpacing w:val="true"/>
      <w:ind w:left="720"/>
    </w:pPr>
  </w:style>
  <w:style w:type="paragraph" w:styleId="692">
    <w:name w:val="No Spacing"/>
    <w:link w:val="880"/>
    <w:rPr>
      <w:sz w:val="22"/>
      <w:szCs w:val="22"/>
      <w:lang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3">
    <w:name w:val="Title"/>
    <w:link w:val="738"/>
    <w:rPr>
      <w:sz w:val="48"/>
      <w:szCs w:val="48"/>
    </w:rPr>
    <w:pPr>
      <w:contextualSpacing w:val="true"/>
      <w:spacing w:after="200" w:before="300"/>
    </w:pPr>
  </w:style>
  <w:style w:type="paragraph" w:styleId="694">
    <w:name w:val="Subtitle"/>
    <w:link w:val="739"/>
    <w:rPr>
      <w:sz w:val="24"/>
      <w:szCs w:val="24"/>
    </w:rPr>
    <w:pPr>
      <w:spacing w:after="200" w:before="200"/>
    </w:pPr>
  </w:style>
  <w:style w:type="paragraph" w:styleId="695">
    <w:name w:val="Quote"/>
    <w:link w:val="740"/>
    <w:rPr>
      <w:i/>
    </w:rPr>
    <w:pPr>
      <w:ind w:left="720" w:right="720"/>
    </w:pPr>
  </w:style>
  <w:style w:type="paragraph" w:styleId="696">
    <w:name w:val="Intense Quote"/>
    <w:link w:val="741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7">
    <w:name w:val="Table Grid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698">
    <w:name w:val="Hyperlink"/>
    <w:rPr>
      <w:color w:val="0000FF"/>
      <w:u w:val="single"/>
    </w:rPr>
  </w:style>
  <w:style w:type="paragraph" w:styleId="699">
    <w:name w:val="footnote text"/>
    <w:link w:val="873"/>
    <w:semiHidden/>
    <w:rPr>
      <w:sz w:val="18"/>
    </w:rPr>
    <w:pPr>
      <w:spacing w:after="40"/>
    </w:pPr>
  </w:style>
  <w:style w:type="character" w:styleId="700">
    <w:name w:val="footnote reference"/>
    <w:rPr>
      <w:vertAlign w:val="superscript"/>
    </w:rPr>
  </w:style>
  <w:style w:type="paragraph" w:styleId="701">
    <w:name w:val="endnote text"/>
    <w:link w:val="874"/>
    <w:semiHidden/>
  </w:style>
  <w:style w:type="character" w:styleId="702">
    <w:name w:val="endnote reference"/>
    <w:semiHidden/>
    <w:rPr>
      <w:vertAlign w:val="superscript"/>
    </w:rPr>
  </w:style>
  <w:style w:type="paragraph" w:styleId="703">
    <w:name w:val="toc 1"/>
    <w:rPr>
      <w:lang w:val="ru-RU"/>
    </w:rPr>
    <w:pPr>
      <w:spacing w:after="57"/>
    </w:pPr>
  </w:style>
  <w:style w:type="paragraph" w:styleId="704">
    <w:name w:val="toc 2"/>
    <w:rPr>
      <w:lang w:val="ru-RU"/>
    </w:rPr>
    <w:pPr>
      <w:ind w:left="283"/>
      <w:spacing w:after="57"/>
    </w:pPr>
  </w:style>
  <w:style w:type="paragraph" w:styleId="705">
    <w:name w:val="toc 3"/>
    <w:rPr>
      <w:lang w:val="ru-RU"/>
    </w:rPr>
    <w:pPr>
      <w:ind w:left="567"/>
      <w:spacing w:after="57"/>
    </w:pPr>
  </w:style>
  <w:style w:type="paragraph" w:styleId="706">
    <w:name w:val="toc 4"/>
    <w:rPr>
      <w:lang w:val="ru-RU"/>
    </w:rPr>
    <w:pPr>
      <w:ind w:left="850"/>
      <w:spacing w:after="57"/>
    </w:pPr>
  </w:style>
  <w:style w:type="paragraph" w:styleId="707">
    <w:name w:val="toc 5"/>
    <w:rPr>
      <w:lang w:val="ru-RU"/>
    </w:rPr>
    <w:pPr>
      <w:ind w:left="1134"/>
      <w:spacing w:after="57"/>
    </w:pPr>
  </w:style>
  <w:style w:type="paragraph" w:styleId="708">
    <w:name w:val="toc 6"/>
    <w:rPr>
      <w:lang w:val="ru-RU"/>
    </w:rPr>
    <w:pPr>
      <w:ind w:left="1417"/>
      <w:spacing w:after="57"/>
    </w:pPr>
  </w:style>
  <w:style w:type="paragraph" w:styleId="709">
    <w:name w:val="toc 7"/>
    <w:rPr>
      <w:lang w:val="ru-RU"/>
    </w:rPr>
    <w:pPr>
      <w:ind w:left="1701"/>
      <w:spacing w:after="57"/>
    </w:pPr>
  </w:style>
  <w:style w:type="paragraph" w:styleId="710">
    <w:name w:val="toc 8"/>
    <w:rPr>
      <w:lang w:val="ru-RU"/>
    </w:rPr>
    <w:pPr>
      <w:ind w:left="1984"/>
      <w:spacing w:after="57"/>
    </w:pPr>
  </w:style>
  <w:style w:type="paragraph" w:styleId="711">
    <w:name w:val="toc 9"/>
    <w:rPr>
      <w:lang w:val="ru-RU"/>
    </w:rPr>
    <w:pPr>
      <w:ind w:left="2268"/>
      <w:spacing w:after="57"/>
    </w:pPr>
  </w:style>
  <w:style w:type="paragraph" w:styleId="712">
    <w:name w:val="TOC Heading"/>
    <w:rPr>
      <w:lang w:val="ru-RU"/>
    </w:rPr>
  </w:style>
  <w:style w:type="paragraph" w:styleId="713">
    <w:name w:val="table of figures"/>
    <w:rPr>
      <w:lang w:val="ru-RU"/>
    </w:rPr>
  </w:style>
  <w:style w:type="character" w:styleId="714" w:customStyle="1">
    <w:name w:val="Title Char"/>
    <w:link w:val="693"/>
    <w:rPr>
      <w:sz w:val="48"/>
      <w:szCs w:val="48"/>
    </w:rPr>
  </w:style>
  <w:style w:type="character" w:styleId="715" w:customStyle="1">
    <w:name w:val="Subtitle Char"/>
    <w:link w:val="694"/>
    <w:rPr>
      <w:sz w:val="24"/>
      <w:szCs w:val="24"/>
    </w:rPr>
  </w:style>
  <w:style w:type="character" w:styleId="716" w:customStyle="1">
    <w:name w:val="Quote Char"/>
    <w:link w:val="695"/>
    <w:rPr>
      <w:i/>
    </w:rPr>
  </w:style>
  <w:style w:type="character" w:styleId="717" w:customStyle="1">
    <w:name w:val="Intense Quote Char"/>
    <w:link w:val="696"/>
    <w:rPr>
      <w:i/>
    </w:rPr>
  </w:style>
  <w:style w:type="character" w:styleId="718" w:customStyle="1">
    <w:name w:val="Footnote Text Char"/>
    <w:link w:val="699"/>
    <w:rPr>
      <w:sz w:val="18"/>
    </w:rPr>
  </w:style>
  <w:style w:type="character" w:styleId="719" w:customStyle="1">
    <w:name w:val="Endnote Text Char"/>
    <w:link w:val="701"/>
    <w:rPr>
      <w:sz w:val="20"/>
    </w:rPr>
  </w:style>
  <w:style w:type="paragraph" w:styleId="720" w:customStyle="1">
    <w:name w:val="Heading 1"/>
    <w:link w:val="721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1" w:customStyle="1">
    <w:name w:val="Heading 1 Char"/>
    <w:link w:val="720"/>
    <w:rPr>
      <w:rFonts w:ascii="Arial" w:hAnsi="Arial" w:eastAsia="Arial"/>
      <w:sz w:val="40"/>
      <w:szCs w:val="40"/>
      <w:lang w:bidi="ar-SA"/>
    </w:rPr>
  </w:style>
  <w:style w:type="paragraph" w:styleId="722" w:customStyle="1">
    <w:name w:val="Heading 2"/>
    <w:link w:val="723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character" w:styleId="723" w:customStyle="1">
    <w:name w:val="Heading 2 Char"/>
    <w:link w:val="722"/>
    <w:rPr>
      <w:rFonts w:ascii="Arial" w:hAnsi="Arial" w:eastAsia="Arial"/>
      <w:sz w:val="34"/>
      <w:lang w:bidi="ar-SA"/>
    </w:rPr>
  </w:style>
  <w:style w:type="paragraph" w:styleId="724" w:customStyle="1">
    <w:name w:val="Heading 3"/>
    <w:link w:val="725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5" w:customStyle="1">
    <w:name w:val="Heading 3 Char"/>
    <w:link w:val="724"/>
    <w:rPr>
      <w:rFonts w:ascii="Arial" w:hAnsi="Arial" w:eastAsia="Arial"/>
      <w:sz w:val="30"/>
      <w:szCs w:val="30"/>
      <w:lang w:bidi="ar-SA"/>
    </w:rPr>
  </w:style>
  <w:style w:type="paragraph" w:styleId="726" w:customStyle="1">
    <w:name w:val="Heading 4"/>
    <w:link w:val="727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7" w:customStyle="1">
    <w:name w:val="Heading 4 Char"/>
    <w:link w:val="726"/>
    <w:rPr>
      <w:rFonts w:ascii="Arial" w:hAnsi="Arial" w:eastAsia="Arial"/>
      <w:b/>
      <w:bCs/>
      <w:sz w:val="26"/>
      <w:szCs w:val="26"/>
      <w:lang w:bidi="ar-SA"/>
    </w:rPr>
  </w:style>
  <w:style w:type="paragraph" w:styleId="728" w:customStyle="1">
    <w:name w:val="Heading 5"/>
    <w:link w:val="72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9" w:customStyle="1">
    <w:name w:val="Heading 5 Char"/>
    <w:link w:val="728"/>
    <w:rPr>
      <w:rFonts w:ascii="Arial" w:hAnsi="Arial" w:eastAsia="Arial"/>
      <w:b/>
      <w:bCs/>
      <w:sz w:val="24"/>
      <w:szCs w:val="24"/>
      <w:lang w:bidi="ar-SA"/>
    </w:rPr>
  </w:style>
  <w:style w:type="paragraph" w:styleId="730" w:customStyle="1">
    <w:name w:val="Heading 6"/>
    <w:link w:val="731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1" w:customStyle="1">
    <w:name w:val="Heading 6 Char"/>
    <w:link w:val="730"/>
    <w:rPr>
      <w:rFonts w:ascii="Arial" w:hAnsi="Arial" w:eastAsia="Arial"/>
      <w:b/>
      <w:bCs/>
      <w:sz w:val="22"/>
      <w:szCs w:val="22"/>
      <w:lang w:bidi="ar-SA"/>
    </w:rPr>
  </w:style>
  <w:style w:type="paragraph" w:styleId="732" w:customStyle="1">
    <w:name w:val="Heading 7"/>
    <w:link w:val="733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3" w:customStyle="1">
    <w:name w:val="Heading 7 Char"/>
    <w:link w:val="732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734" w:customStyle="1">
    <w:name w:val="Heading 8"/>
    <w:link w:val="735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5" w:customStyle="1">
    <w:name w:val="Heading 8 Char"/>
    <w:link w:val="734"/>
    <w:rPr>
      <w:rFonts w:ascii="Arial" w:hAnsi="Arial" w:eastAsia="Arial"/>
      <w:i/>
      <w:iCs/>
      <w:sz w:val="22"/>
      <w:szCs w:val="22"/>
      <w:lang w:bidi="ar-SA"/>
    </w:rPr>
  </w:style>
  <w:style w:type="paragraph" w:styleId="736" w:customStyle="1">
    <w:name w:val="Heading 9"/>
    <w:link w:val="73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7" w:customStyle="1">
    <w:name w:val="Heading 9 Char"/>
    <w:link w:val="736"/>
    <w:rPr>
      <w:rFonts w:ascii="Arial" w:hAnsi="Arial" w:eastAsia="Arial"/>
      <w:i/>
      <w:iCs/>
      <w:sz w:val="21"/>
      <w:szCs w:val="21"/>
      <w:lang w:bidi="ar-SA"/>
    </w:rPr>
  </w:style>
  <w:style w:type="character" w:styleId="738" w:customStyle="1">
    <w:name w:val="Название Знак"/>
    <w:link w:val="693"/>
    <w:rPr>
      <w:sz w:val="48"/>
      <w:szCs w:val="48"/>
      <w:lang w:bidi="ar-SA"/>
    </w:rPr>
  </w:style>
  <w:style w:type="character" w:styleId="739" w:customStyle="1">
    <w:name w:val="Подзаголовок Знак"/>
    <w:link w:val="694"/>
    <w:rPr>
      <w:sz w:val="24"/>
      <w:szCs w:val="24"/>
      <w:lang w:bidi="ar-SA"/>
    </w:rPr>
  </w:style>
  <w:style w:type="character" w:styleId="740" w:customStyle="1">
    <w:name w:val="Цитата 2 Знак"/>
    <w:link w:val="695"/>
    <w:rPr>
      <w:i/>
      <w:lang w:val="uk-UA" w:bidi="ar-SA" w:eastAsia="zh-CN"/>
    </w:rPr>
  </w:style>
  <w:style w:type="character" w:styleId="741" w:customStyle="1">
    <w:name w:val="Выделенная цитата Знак"/>
    <w:link w:val="696"/>
    <w:rPr>
      <w:i/>
      <w:shd w:val="clear" w:fill="F2F2F2" w:color="auto"/>
      <w:lang w:val="uk-UA" w:bidi="ar-SA" w:eastAsia="zh-CN"/>
    </w:rPr>
  </w:style>
  <w:style w:type="paragraph" w:styleId="742" w:customStyle="1">
    <w:name w:val="Header"/>
    <w:link w:val="743"/>
    <w:rPr>
      <w:lang w:val="ru-RU"/>
    </w:rPr>
    <w:pPr>
      <w:tabs>
        <w:tab w:val="center" w:pos="7143" w:leader="none"/>
        <w:tab w:val="right" w:pos="14287" w:leader="none"/>
      </w:tabs>
    </w:pPr>
  </w:style>
  <w:style w:type="character" w:styleId="743" w:customStyle="1">
    <w:name w:val="Header Char"/>
    <w:link w:val="742"/>
    <w:rPr>
      <w:lang w:val="ru-RU" w:bidi="ar-SA" w:eastAsia="zh-CN"/>
    </w:rPr>
  </w:style>
  <w:style w:type="paragraph" w:styleId="744" w:customStyle="1">
    <w:name w:val="Footer"/>
    <w:link w:val="747"/>
    <w:rPr>
      <w:lang w:val="ru-RU"/>
    </w:rPr>
    <w:pPr>
      <w:tabs>
        <w:tab w:val="center" w:pos="7143" w:leader="none"/>
        <w:tab w:val="right" w:pos="14287" w:leader="none"/>
      </w:tabs>
    </w:pPr>
  </w:style>
  <w:style w:type="character" w:styleId="745" w:customStyle="1">
    <w:name w:val="Footer Char"/>
  </w:style>
  <w:style w:type="paragraph" w:styleId="746" w:customStyle="1">
    <w:name w:val="Caption"/>
    <w:semiHidden/>
    <w:rPr>
      <w:b/>
      <w:bCs/>
      <w:color w:val="4F81BD"/>
      <w:sz w:val="18"/>
      <w:szCs w:val="18"/>
      <w:lang w:val="ru-RU"/>
    </w:rPr>
    <w:pPr>
      <w:spacing w:lineRule="auto" w:line="276"/>
    </w:pPr>
  </w:style>
  <w:style w:type="character" w:styleId="747" w:customStyle="1">
    <w:name w:val="Caption Char"/>
    <w:link w:val="744"/>
    <w:rPr>
      <w:lang w:val="ru-RU" w:bidi="ar-SA" w:eastAsia="zh-CN"/>
    </w:rPr>
  </w:style>
  <w:style w:type="table" w:styleId="748" w:customStyle="1">
    <w:name w:val="Table Grid Light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Plain Table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Plain Table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Plain Table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Plain Table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Plain Table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1 Light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1 Light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2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3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4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5 Dark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5 Dark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6 Colorful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6 Colorful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7 Colorful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7 Colorful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1 Light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1 Light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2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3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4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5 Dark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5 Dark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6 Colorful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6 Colorful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7 Colorful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7 Colorful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ned - Accent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 1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2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3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4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5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6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&amp; Lined - Accent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 1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2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3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4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5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6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3" w:customStyle="1">
    <w:name w:val="Текст сноски Знак"/>
    <w:link w:val="699"/>
    <w:semiHidden/>
    <w:rPr>
      <w:sz w:val="18"/>
      <w:lang w:bidi="ar-SA"/>
    </w:rPr>
  </w:style>
  <w:style w:type="character" w:styleId="874" w:customStyle="1">
    <w:name w:val="Текст концевой сноски Знак"/>
    <w:link w:val="701"/>
    <w:semiHidden/>
    <w:rPr>
      <w:lang w:val="uk-UA" w:bidi="ar-SA" w:eastAsia="zh-CN"/>
    </w:rPr>
  </w:style>
  <w:style w:type="paragraph" w:styleId="875" w:customStyle="1">
    <w:name w:val="Обычный1"/>
    <w:rPr>
      <w:rFonts w:ascii="Times New Roman" w:hAnsi="Times New Roman" w:eastAsia="Times New Roman"/>
      <w:sz w:val="22"/>
      <w:szCs w:val="22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6" w:customStyle="1">
    <w:name w:val="Основной текст (2)"/>
    <w:basedOn w:val="688"/>
    <w:rPr>
      <w:rFonts w:ascii="Times New Roman" w:hAnsi="Times New Roman" w:eastAsia="Times New Roman"/>
      <w:color w:val="000000"/>
      <w:spacing w:val="0"/>
      <w:position w:val="0"/>
      <w:sz w:val="28"/>
      <w:szCs w:val="28"/>
      <w:u w:val="none"/>
      <w:lang w:val="uk-UA" w:bidi="uk-UA" w:eastAsia="uk-UA"/>
    </w:rPr>
  </w:style>
  <w:style w:type="paragraph" w:styleId="877">
    <w:name w:val="Balloon Text"/>
    <w:basedOn w:val="687"/>
    <w:link w:val="878"/>
    <w:semiHidden/>
    <w:rPr>
      <w:rFonts w:ascii="Tahoma" w:hAnsi="Tahoma"/>
      <w:sz w:val="16"/>
      <w:szCs w:val="16"/>
    </w:rPr>
  </w:style>
  <w:style w:type="character" w:styleId="878" w:customStyle="1">
    <w:name w:val="Текст выноски Знак"/>
    <w:basedOn w:val="688"/>
    <w:link w:val="877"/>
    <w:semiHidden/>
    <w:rPr>
      <w:rFonts w:ascii="Tahoma" w:hAnsi="Tahoma" w:eastAsia="Times New Roman"/>
      <w:sz w:val="16"/>
      <w:szCs w:val="16"/>
      <w:lang w:val="uk-UA" w:eastAsia="ru-RU"/>
    </w:rPr>
  </w:style>
  <w:style w:type="character" w:styleId="879" w:customStyle="1">
    <w:name w:val="rvts23"/>
    <w:basedOn w:val="688"/>
  </w:style>
  <w:style w:type="character" w:styleId="880" w:customStyle="1">
    <w:name w:val="Без интервала Знак"/>
    <w:link w:val="692"/>
    <w:rPr>
      <w:sz w:val="22"/>
      <w:szCs w:val="22"/>
      <w:shd w:val="nil"/>
      <w:lang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IVYekymenko</dc:creator>
  <cp:lastModifiedBy>Єкименко Ірина Валеріївна</cp:lastModifiedBy>
  <cp:revision>5</cp:revision>
  <dcterms:created xsi:type="dcterms:W3CDTF">2024-02-28T08:08:00Z</dcterms:created>
  <dcterms:modified xsi:type="dcterms:W3CDTF">2024-02-29T06:01:39Z</dcterms:modified>
</cp:coreProperties>
</file>