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94"/>
        <w:tblpPr w:horzAnchor="margin" w:tblpX="108" w:vertAnchor="margin" w:tblpY="-825" w:leftFromText="180" w:topFromText="0" w:rightFromText="180" w:bottomFromText="0"/>
        <w:tblW w:w="15959" w:type="dxa"/>
        <w:tblLayout w:type="fixed"/>
        <w:tblLook w:val="04A0" w:firstRow="1" w:lastRow="0" w:firstColumn="1" w:lastColumn="0" w:noHBand="0" w:noVBand="1"/>
      </w:tblPr>
      <w:tblGrid>
        <w:gridCol w:w="426"/>
        <w:gridCol w:w="35"/>
        <w:gridCol w:w="1348"/>
        <w:gridCol w:w="25"/>
        <w:gridCol w:w="1285"/>
        <w:gridCol w:w="88"/>
        <w:gridCol w:w="2571"/>
        <w:gridCol w:w="567"/>
        <w:gridCol w:w="290"/>
        <w:gridCol w:w="277"/>
        <w:gridCol w:w="709"/>
        <w:gridCol w:w="327"/>
        <w:gridCol w:w="524"/>
        <w:gridCol w:w="893"/>
        <w:gridCol w:w="524"/>
        <w:gridCol w:w="1701"/>
        <w:gridCol w:w="851"/>
        <w:gridCol w:w="1809"/>
        <w:gridCol w:w="1701"/>
        <w:gridCol w:w="8"/>
      </w:tblGrid>
      <w:tr>
        <w:trPr>
          <w:trHeight w:val="1843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73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73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tabs>
                <w:tab w:val="left" w:pos="96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28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13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4" w:type="dxa"/>
            <w:textDirection w:val="lrTb"/>
            <w:noWrap/>
          </w:tcPr>
          <w:p>
            <w:pPr>
              <w:ind w:left="24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Додаток 2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виконавчого комітету 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Менської міської ради від </w:t>
            </w:r>
            <w:r/>
          </w:p>
          <w:p>
            <w:pPr>
              <w:ind w:left="2401"/>
              <w:tabs>
                <w:tab w:val="left" w:pos="6946" w:leader="none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09 лютого </w:t>
            </w:r>
            <w:r>
              <w:rPr>
                <w:sz w:val="28"/>
                <w:lang w:val="uk-UA"/>
              </w:rPr>
              <w:t xml:space="preserve">2024 року № </w:t>
            </w:r>
            <w:r>
              <w:rPr>
                <w:sz w:val="28"/>
                <w:lang w:val="uk-UA"/>
              </w:rPr>
              <w:t xml:space="preserve">26</w:t>
            </w:r>
            <w:bookmarkStart w:id="0" w:name="_GoBack"/>
            <w:r/>
            <w:bookmarkEnd w:id="0"/>
            <w:r/>
            <w:r/>
          </w:p>
          <w:p>
            <w:pPr>
              <w:pStyle w:val="891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jc w:val="right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gridSpan w:val="20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959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Перелік замовників (підприємств, установ, організацій) суспільно корисних робіт  </w:t>
            </w:r>
            <w:r>
              <w:rPr>
                <w:rFonts w:eastAsia="Times New Roman"/>
                <w:spacing w:val="-4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pacing w:val="-4"/>
                <w:sz w:val="28"/>
                <w:szCs w:val="28"/>
                <w:lang w:val="uk-UA"/>
              </w:rPr>
              <w:t xml:space="preserve">в умовах воєнного стану на території Менської міської територіальної громади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>
          <w:gridAfter w:val="1"/>
          <w:trHeight w:val="1995"/>
        </w:trPr>
        <w:tc>
          <w:tcPr>
            <w:tcBorders>
              <w:top w:val="single" w:sz="4" w:space="0" w:color="auto"/>
            </w:tcBorders>
            <w:tcW w:w="426" w:type="dxa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383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підприємства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310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Об’єкти, на яких виконують-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ся суспільно корисні роботи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2659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суспільно корисних робіт</w:t>
            </w:r>
            <w:r/>
          </w:p>
        </w:tc>
        <w:tc>
          <w:tcPr>
            <w:tcBorders>
              <w:top w:val="single" w:sz="4" w:space="0" w:color="auto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Кількість осіб</w:t>
            </w:r>
            <w:r/>
          </w:p>
        </w:tc>
        <w:tc>
          <w:tcPr>
            <w:gridSpan w:val="5"/>
            <w:tcBorders>
              <w:top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Критерії відбору 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(за потреби)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Межі території, транспортні маршрути (або організація доставки до місця проведення суспільно корисних робіт)</w:t>
            </w:r>
            <w:r/>
          </w:p>
        </w:tc>
        <w:tc>
          <w:tcPr>
            <w:tcBorders>
              <w:top w:val="single" w:sz="4" w:space="0" w:color="auto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  <w:r/>
          </w:p>
        </w:tc>
        <w:tc>
          <w:tcPr>
            <w:tcBorders>
              <w:top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right="-74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Строк виконання суспільно корисних робіт</w:t>
            </w:r>
            <w:r/>
          </w:p>
        </w:tc>
        <w:tc>
          <w:tcPr>
            <w:tcBorders>
              <w:top w:val="single" w:sz="4" w:space="0" w:color="auto"/>
            </w:tcBorders>
            <w:tcW w:w="1809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Посадові особи, які відповідають за </w:t>
            </w:r>
            <w:r>
              <w:rPr>
                <w:b/>
                <w:bCs/>
                <w:lang w:val="uk-UA"/>
              </w:rPr>
              <w:t xml:space="preserve">інформуван</w:t>
            </w:r>
            <w:r>
              <w:rPr>
                <w:b/>
                <w:bCs/>
                <w:lang w:val="uk-UA"/>
              </w:rPr>
              <w:t xml:space="preserve">-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ня, оповіщення та збір працездатних осіб</w:t>
            </w:r>
            <w:r/>
          </w:p>
        </w:tc>
        <w:tc>
          <w:tcPr>
            <w:tcBorders>
              <w:top w:val="single" w:sz="4" w:space="0" w:color="auto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Інші питання, вирішення яких сприятиме виконанню таких робіт (у разі потреби)</w:t>
            </w:r>
            <w:r/>
          </w:p>
        </w:tc>
      </w:tr>
      <w:tr>
        <w:trPr>
          <w:gridAfter w:val="1"/>
          <w:trHeight w:val="404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1383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1310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2659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вік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ind w:lef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профе-сія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спеціа</w:t>
            </w:r>
            <w:r>
              <w:rPr>
                <w:b/>
                <w:bCs/>
                <w:lang w:val="uk-UA"/>
              </w:rPr>
              <w:t xml:space="preserve">-</w:t>
            </w:r>
            <w:r/>
          </w:p>
          <w:p>
            <w:pPr>
              <w:ind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льність</w:t>
            </w:r>
            <w:r/>
          </w:p>
        </w:tc>
        <w:tc>
          <w:tcPr>
            <w:gridSpan w:val="2"/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809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</w:t>
            </w:r>
            <w:r/>
          </w:p>
        </w:tc>
        <w:tc>
          <w:tcPr>
            <w:gridSpan w:val="2"/>
            <w:tcW w:w="1383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2</w:t>
            </w:r>
            <w:r/>
          </w:p>
        </w:tc>
        <w:tc>
          <w:tcPr>
            <w:gridSpan w:val="2"/>
            <w:tcW w:w="1310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3</w:t>
            </w:r>
            <w:r/>
          </w:p>
        </w:tc>
        <w:tc>
          <w:tcPr>
            <w:gridSpan w:val="2"/>
            <w:tcW w:w="265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5</w:t>
            </w:r>
            <w:r/>
          </w:p>
        </w:tc>
        <w:tc>
          <w:tcPr>
            <w:gridSpan w:val="2"/>
            <w:tcW w:w="567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6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7</w:t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8</w:t>
            </w:r>
            <w:r/>
          </w:p>
        </w:tc>
        <w:tc>
          <w:tcPr>
            <w:gridSpan w:val="2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9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11</w:t>
            </w:r>
            <w:r/>
          </w:p>
        </w:tc>
        <w:tc>
          <w:tcPr>
            <w:tcW w:w="1809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12</w:t>
            </w:r>
            <w:r/>
          </w:p>
        </w:tc>
        <w:tc>
          <w:tcPr>
            <w:tcW w:w="1701" w:type="dxa"/>
            <w:vAlign w:val="center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13</w:t>
            </w:r>
            <w:r/>
          </w:p>
        </w:tc>
      </w:tr>
      <w:tr>
        <w:trPr>
          <w:gridAfter w:val="1"/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Комунальне підприємство </w:t>
            </w:r>
            <w:r>
              <w:rPr>
                <w:lang w:val="uk-UA"/>
              </w:rPr>
              <w:t xml:space="preserve">«</w:t>
            </w:r>
            <w:r>
              <w:rPr>
                <w:lang w:val="uk-UA"/>
              </w:rPr>
              <w:t xml:space="preserve">Менакомун</w:t>
            </w:r>
            <w:r>
              <w:rPr>
                <w:lang w:val="uk-UA"/>
              </w:rPr>
              <w:t xml:space="preserve">-послуга» Менської </w:t>
            </w:r>
            <w:r>
              <w:rPr>
                <w:rFonts w:eastAsia="Calibri"/>
                <w:lang w:val="uk-UA"/>
              </w:rPr>
              <w:t xml:space="preserve">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життєзабезпечення громади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благоустрою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житлового фонду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оборонні </w:t>
            </w:r>
            <w:r>
              <w:rPr>
                <w:rFonts w:eastAsia="Calibri"/>
                <w:lang w:val="uk-UA"/>
              </w:rPr>
              <w:t xml:space="preserve">рубежі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Ремонтно-відновлювальні роботи, насамперед роботи, що виконуються на об’єктах забезпечення життєдіяльності.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</w:t>
            </w:r>
            <w:r>
              <w:rPr>
                <w:rFonts w:eastAsia="Times New Roman"/>
                <w:spacing w:val="-11"/>
                <w:lang w:val="uk-UA"/>
              </w:rPr>
              <w:t xml:space="preserve">укриття.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 і будівництво житлових приміщень.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Розбір завалів, розчищення  залізничних колій та  автомобільних доріг.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Прибирання та утримання в належному стані придорожніх смуг, зупинок,  вирубка чагарників.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Упорядкування, відновлення та благоустрій прибережних смуг, природних джерел та водоймищ, </w:t>
            </w:r>
            <w:r>
              <w:rPr>
                <w:rFonts w:eastAsia="Times New Roman"/>
                <w:spacing w:val="-11"/>
                <w:lang w:val="uk-UA"/>
              </w:rPr>
              <w:t xml:space="preserve">русел</w:t>
            </w:r>
            <w:r>
              <w:rPr>
                <w:rFonts w:eastAsia="Times New Roman"/>
                <w:spacing w:val="-11"/>
                <w:lang w:val="uk-UA"/>
              </w:rPr>
              <w:t xml:space="preserve"> річок, укріплення дамб, мостових споруд.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з прибирання місць поховання, недоглянутих могил та виконання інших робіт на кладовищах.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Ліквідація стихійних сміттєзвалищ та облаштування полігонів твердих побутових  відходів.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по виготовленню попереджувальних знаків, захисних стрічок для огородження небезпечних місць.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Заготівля дров для опалювального сезону.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із забезпечення сталого функціонування об’єктів підвищеної безпеки на випадок надзвичайних ситуацій.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Роботи, пов’язані з підтриманням громадського порядку.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sz w:val="28"/>
                <w:szCs w:val="28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Забезпечення оповіщення </w:t>
            </w:r>
            <w:r>
              <w:rPr>
                <w:rFonts w:eastAsia="Times New Roman"/>
                <w:spacing w:val="-11"/>
                <w:lang w:val="uk-UA"/>
              </w:rPr>
              <w:t xml:space="preserve">військовозобов’язаних, які проживають на території Менської міської територіальної громади.</w:t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300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t xml:space="preserve">м. Мена, </w:t>
            </w:r>
            <w:r>
              <w:t xml:space="preserve">вул</w:t>
            </w:r>
            <w:r>
              <w:t xml:space="preserve">. </w:t>
            </w:r>
            <w:r>
              <w:rPr>
                <w:lang w:val="uk-UA"/>
              </w:rPr>
              <w:t xml:space="preserve">Гетьмана Мазепи</w:t>
            </w:r>
            <w:r>
              <w:t xml:space="preserve">,</w:t>
            </w:r>
            <w:r>
              <w:rPr>
                <w:lang w:val="uk-UA"/>
              </w:rPr>
              <w:t xml:space="preserve"> </w:t>
            </w:r>
            <w:r>
              <w:t xml:space="preserve">62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........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</w:t>
            </w:r>
            <w:r>
              <w:rPr>
                <w:rFonts w:eastAsia="Calibri"/>
              </w:rPr>
              <w:t xml:space="preserve">иректор</w:t>
            </w:r>
            <w:r>
              <w:t xml:space="preserve"> </w:t>
            </w:r>
            <w:r>
              <w:rPr>
                <w:rFonts w:eastAsia="Calibri"/>
              </w:rPr>
              <w:t xml:space="preserve">КП </w:t>
            </w:r>
            <w:r>
              <w:t xml:space="preserve">«</w:t>
            </w:r>
            <w:r>
              <w:t xml:space="preserve">Менакомунпослуга</w:t>
            </w:r>
            <w:r>
              <w:t xml:space="preserve">»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Times New Roman"/>
              </w:rPr>
              <w:t xml:space="preserve">Д</w:t>
            </w:r>
            <w:r>
              <w:rPr>
                <w:rFonts w:eastAsia="Times New Roman"/>
                <w:highlight w:val="white"/>
              </w:rPr>
              <w:t xml:space="preserve">оставку до </w:t>
            </w:r>
            <w:r>
              <w:rPr>
                <w:rFonts w:eastAsia="Times New Roman"/>
                <w:highlight w:val="white"/>
                <w:lang w:val="uk-UA"/>
              </w:rPr>
              <w:t xml:space="preserve">місця проведення суспільно корисних робіт</w:t>
            </w:r>
            <w:r>
              <w:rPr>
                <w:lang w:val="uk-UA"/>
              </w:rPr>
              <w:t xml:space="preserve"> забезпечує замовник робіт</w:t>
            </w:r>
            <w:r/>
          </w:p>
        </w:tc>
      </w:tr>
      <w:tr>
        <w:trPr>
          <w:gridAfter w:val="1"/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ind w:left="-142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Комунальне некомерційне підприємство «Менська міська лікарня» Менської 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життєзабезпечення громади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благоустрою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Ремонтно-відновлювальні роботи, насамперед роботи, що виконуються на об’єктах забезпечення життєдіяльності.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благоустрою.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Надання допомоги н</w:t>
            </w:r>
            <w:r>
              <w:rPr>
                <w:rFonts w:eastAsia="Times New Roman"/>
                <w:spacing w:val="-11"/>
                <w:lang w:val="uk-UA"/>
              </w:rPr>
              <w:t xml:space="preserve">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 в тому числі у «Пунктах незламності».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Догляд за пораненими військовослужбовцями та їх супровід.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50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>
              <w:rPr>
                <w:lang w:val="uk-UA"/>
              </w:rPr>
              <w:t xml:space="preserve">Мена</w:t>
            </w:r>
            <w:r>
              <w:rPr>
                <w:lang w:val="uk-UA"/>
              </w:rPr>
              <w:t xml:space="preserve">, вул. Шевченка, 61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  <w:t xml:space="preserve">.......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  <w:t xml:space="preserve">Генеральний директор КНП «Менська міська лікарня»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-</w:t>
            </w:r>
            <w:r/>
          </w:p>
        </w:tc>
      </w:tr>
      <w:tr>
        <w:trPr>
          <w:gridAfter w:val="1"/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«Менський територіальний центр надання соціальних послуг» Менської 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життєзабезпечення громади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житлового фонду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благоустро</w:t>
            </w:r>
            <w:r>
              <w:rPr>
                <w:rFonts w:eastAsia="Calibri"/>
                <w:lang w:val="uk-UA"/>
              </w:rPr>
              <w:t xml:space="preserve">ю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Ремонтно-відновлювальні роботи, насамперед роботи, що виконуються на об’єктах забезпечення життєдіяльності.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Ремонт і будівництво житлових приміщень.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993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з прибирання місць поховання, недоглянутих могил та виконання інших робіт на кладовищах.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Заготівля дров для опалювального сезону.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Сільськогосподарські роботи (весняно-польові роботи, </w:t>
            </w:r>
            <w:r>
              <w:rPr>
                <w:rFonts w:eastAsia="Times New Roman"/>
                <w:spacing w:val="-11"/>
                <w:lang w:val="uk-UA"/>
              </w:rPr>
              <w:t xml:space="preserve">збирання врожаю, сінокосіння).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фасування гуманітарної допомоги.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Надання допомоги н</w:t>
            </w:r>
            <w:r>
              <w:rPr>
                <w:rFonts w:eastAsia="Times New Roman"/>
                <w:spacing w:val="-11"/>
                <w:lang w:val="uk-UA"/>
              </w:rPr>
              <w:t xml:space="preserve">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 в тому числі у «Пунктах незламності».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Організація забезпечення життєдіяльності громадян, що постраждали внаслідок бойових дій.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Догляд за пораненими військовослужбовцями та їх супровід.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пов’язані з допомогою сім’ям військовослужбовців та учасників бойових дій, в </w:t>
            </w:r>
            <w:r>
              <w:rPr>
                <w:rFonts w:eastAsia="Times New Roman"/>
                <w:spacing w:val="-11"/>
                <w:lang w:val="uk-UA"/>
              </w:rPr>
              <w:t xml:space="preserve">т.ч</w:t>
            </w:r>
            <w:r>
              <w:rPr>
                <w:rFonts w:eastAsia="Times New Roman"/>
                <w:spacing w:val="-11"/>
                <w:lang w:val="uk-UA"/>
              </w:rPr>
              <w:t xml:space="preserve">. загиблих.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>
              <w:rPr>
                <w:lang w:val="uk-UA"/>
              </w:rPr>
              <w:t xml:space="preserve">Мена</w:t>
            </w:r>
            <w:r>
              <w:rPr>
                <w:lang w:val="uk-UA"/>
              </w:rPr>
              <w:t xml:space="preserve">, вул. Титаренка Сергія, 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  <w:t xml:space="preserve">.......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shd w:val="clear" w:fill="FFFFFF" w:color="auto"/>
                <w:lang w:val="uk-UA"/>
              </w:rPr>
              <w:t xml:space="preserve">Директор КУ Менський територіальний центр НСП»</w:t>
            </w:r>
            <w:r/>
          </w:p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</w:t>
            </w:r>
            <w:r>
              <w:rPr>
                <w:rFonts w:eastAsia="Times New Roman"/>
                <w:highlight w:val="white"/>
                <w:lang w:val="uk-UA"/>
              </w:rPr>
              <w:t xml:space="preserve">оставку до місця проведення суспільно корисних робіт</w:t>
            </w:r>
            <w:r>
              <w:rPr>
                <w:lang w:val="uk-UA"/>
              </w:rPr>
              <w:t xml:space="preserve"> забезпечує замовник робіт</w:t>
            </w:r>
            <w:r/>
          </w:p>
        </w:tc>
      </w:tr>
      <w:tr>
        <w:trPr>
          <w:gridAfter w:val="1"/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4.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Комунальна установа «Менський міський центр соціальних служб» Менської 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ind w:left="-108" w:righ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фасування гуманітарної допомоги.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Надання допомоги населенню, насамперед особам з інвалідністю, дітям, та іншим особам, які не мають можливості самостійно протидіяти несприятливим факторам техногенного, природного та воєнного характеру,  в  тому числі у </w:t>
            </w:r>
            <w:r>
              <w:rPr>
                <w:rFonts w:eastAsia="Times New Roman"/>
                <w:spacing w:val="-11"/>
                <w:lang w:val="uk-UA"/>
              </w:rPr>
              <w:t xml:space="preserve">«Пунктах незламності».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Організація забезпечення життєдіяльності громадян, що постраждали внаслідок бойових дій.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Інформування населення про порядок надання статусу дитини, яка постраждала внаслідок воєнних дій та збройних конфліктів, робота з документацією.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Догляд за пораненими військовослужбовцями та їх супровід.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пов’язані з допомогою сім’ям військовослужбовців та учасників бойових дій, в </w:t>
            </w:r>
            <w:r>
              <w:rPr>
                <w:rFonts w:eastAsia="Times New Roman"/>
                <w:spacing w:val="-11"/>
                <w:lang w:val="uk-UA"/>
              </w:rPr>
              <w:t xml:space="preserve">т.ч</w:t>
            </w:r>
            <w:r>
              <w:rPr>
                <w:rFonts w:eastAsia="Times New Roman"/>
                <w:spacing w:val="-11"/>
                <w:lang w:val="uk-UA"/>
              </w:rPr>
              <w:t xml:space="preserve">. загиблих.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50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>
              <w:rPr>
                <w:lang w:val="uk-UA"/>
              </w:rPr>
              <w:t xml:space="preserve">Мена</w:t>
            </w:r>
            <w:r>
              <w:rPr>
                <w:lang w:val="uk-UA"/>
              </w:rPr>
              <w:t xml:space="preserve">, вул. Семашка, 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ind w:left="-144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.......</w:t>
            </w:r>
            <w:r/>
          </w:p>
          <w:p>
            <w:pPr>
              <w:ind w:left="-144" w:right="-108"/>
              <w:jc w:val="center"/>
              <w:rPr>
                <w:rFonts w:eastAsia="Calibri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Директор КУ </w:t>
            </w:r>
            <w:r>
              <w:rPr>
                <w:rFonts w:eastAsia="Calibri"/>
                <w:lang w:val="uk-UA"/>
              </w:rPr>
              <w:t xml:space="preserve">«Менський міський центр соціальних служб»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-</w:t>
            </w:r>
            <w:r/>
          </w:p>
        </w:tc>
      </w:tr>
      <w:tr>
        <w:trPr>
          <w:gridAfter w:val="1"/>
          <w:trHeight w:val="300"/>
        </w:trPr>
        <w:tc>
          <w:tcPr>
            <w:tcW w:w="426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5.</w:t>
            </w:r>
            <w:r/>
          </w:p>
        </w:tc>
        <w:tc>
          <w:tcPr>
            <w:gridSpan w:val="2"/>
            <w:tcW w:w="1383" w:type="dxa"/>
            <w:textDirection w:val="lrTb"/>
            <w:noWrap/>
          </w:tcPr>
          <w:p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культури Менської міської ради</w:t>
            </w:r>
            <w:r/>
          </w:p>
        </w:tc>
        <w:tc>
          <w:tcPr>
            <w:gridSpan w:val="2"/>
            <w:tcW w:w="1310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об’єкти соціальної сфери</w:t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  <w:r/>
          </w:p>
        </w:tc>
        <w:tc>
          <w:tcPr>
            <w:gridSpan w:val="2"/>
            <w:tcW w:w="2659" w:type="dxa"/>
            <w:textDirection w:val="lrTb"/>
            <w:noWrap/>
          </w:tcPr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Вантажно-розвантажувальні роботи.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Роботи з фасування гуманітарної допомоги.</w:t>
            </w:r>
            <w:r/>
          </w:p>
          <w:p>
            <w:pPr>
              <w:pStyle w:val="893"/>
              <w:ind w:left="0"/>
              <w:jc w:val="center"/>
              <w:widowControl/>
              <w:tabs>
                <w:tab w:val="left" w:pos="1134" w:leader="none"/>
              </w:tabs>
              <w:rPr>
                <w:rFonts w:eastAsia="Times New Roman"/>
                <w:spacing w:val="-11"/>
                <w:lang w:val="uk-UA"/>
              </w:rPr>
            </w:pPr>
            <w:r>
              <w:rPr>
                <w:rFonts w:eastAsia="Times New Roman"/>
                <w:spacing w:val="-11"/>
                <w:lang w:val="uk-UA"/>
              </w:rPr>
              <w:t xml:space="preserve">Виконання робіт для задоволення потреб Збройних Сил України, інших військових формувань і сил цивільного захисту: плетіння маскувальних сіток, надання допомоги у приготуванні їжі, виготовлення окопних свічок, ремонт та пошив одягу.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50</w:t>
            </w:r>
            <w:r/>
          </w:p>
        </w:tc>
        <w:tc>
          <w:tcPr>
            <w:gridSpan w:val="2"/>
            <w:tcW w:w="567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 xml:space="preserve">-</w:t>
            </w:r>
            <w:r/>
          </w:p>
        </w:tc>
        <w:tc>
          <w:tcPr>
            <w:gridSpan w:val="2"/>
            <w:tcW w:w="851" w:type="dxa"/>
            <w:textDirection w:val="lrTb"/>
            <w:noWrap/>
          </w:tcPr>
          <w:p>
            <w:pPr>
              <w:jc w:val="both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Менська міська територіальна громада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>
              <w:rPr>
                <w:lang w:val="uk-UA"/>
              </w:rPr>
              <w:t xml:space="preserve">Мена</w:t>
            </w:r>
            <w:r>
              <w:rPr>
                <w:lang w:val="uk-UA"/>
              </w:rPr>
              <w:t xml:space="preserve">, вул. Героїв АТО, 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2024 рік</w:t>
            </w:r>
            <w:r/>
          </w:p>
        </w:tc>
        <w:tc>
          <w:tcPr>
            <w:tcW w:w="1809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shd w:val="clear" w:fill="FFFFFF" w:color="auto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........</w:t>
            </w:r>
            <w:r/>
          </w:p>
          <w:p>
            <w:pPr>
              <w:ind w:left="-144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Calibri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Начальник Відділу культури Менської міської ради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shd w:val="clear" w:fill="FFFFFF" w:color="auto"/>
              <w:tabs>
                <w:tab w:val="left" w:pos="4790" w:leader="none"/>
                <w:tab w:val="left" w:pos="7320" w:leader="none"/>
              </w:tabs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-</w:t>
            </w:r>
            <w:r/>
          </w:p>
        </w:tc>
      </w:tr>
    </w:tbl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</w:t>
      </w:r>
      <w:r/>
    </w:p>
    <w:p>
      <w:pPr>
        <w:jc w:val="both"/>
        <w:shd w:val="clear" w:fill="FFFFFF" w:color="auto"/>
        <w:tabs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                                                                                                            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4" w:h="11909" w:orient="landscape"/>
      <w:pgMar w:top="1418" w:right="851" w:bottom="567" w:left="567" w:header="720" w:footer="720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 xml:space="preserve">PAGE \* MERGEFORMAT</w:instrText>
    </w:r>
    <w:r>
      <w:rPr>
        <w:i/>
        <w:sz w:val="24"/>
      </w:rP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                                    </w:t>
    </w:r>
    <w:r>
      <w:rPr>
        <w:i/>
        <w:sz w:val="24"/>
      </w:rPr>
      <w:t xml:space="preserve">продовження</w:t>
    </w:r>
    <w:r>
      <w:rPr>
        <w:i/>
        <w:sz w:val="24"/>
      </w:rPr>
      <w:t xml:space="preserve"> </w:t>
    </w:r>
    <w:r>
      <w:rPr>
        <w:i/>
        <w:sz w:val="24"/>
      </w:rPr>
      <w:t xml:space="preserve">додатка</w:t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i w:val="false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26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4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65535"/>
        <w:numFmt w:val="bullet"/>
        <w:isLgl w:val="false"/>
        <w:suff w:val="tab"/>
        <w:lvlText w:val="-"/>
        <w:legacy w:legacy="1" w:legacyIndent="125" w:legacySpace="0"/>
        <w:lvlJc w:val="left"/>
        <w:pPr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5"/>
    <w:lvlOverride w:ilvl="0">
      <w:lvl w:ilvl="0">
        <w:start w:val="65535"/>
        <w:numFmt w:val="bullet"/>
        <w:isLgl w:val="false"/>
        <w:suff w:val="tab"/>
        <w:lvlText w:val="-"/>
        <w:legacy w:legacy="1" w:legacyIndent="12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lvl w:ilvl="0">
        <w:start w:val="65535"/>
        <w:numFmt w:val="bullet"/>
        <w:isLgl w:val="false"/>
        <w:suff w:val="tab"/>
        <w:lvlText w:val="-"/>
        <w:legacy w:legacy="1" w:legacyIndent="17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65535"/>
        <w:numFmt w:val="bullet"/>
        <w:isLgl w:val="false"/>
        <w:suff w:val="tab"/>
        <w:lvlText w:val="-"/>
        <w:legacy w:legacy="1" w:legacyIndent="13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65535"/>
        <w:numFmt w:val="bullet"/>
        <w:isLgl w:val="false"/>
        <w:suff w:val="tab"/>
        <w:lvlText w:val="-"/>
        <w:legacy w:legacy="1" w:legacyIndent="135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0"/>
    <w:link w:val="7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0"/>
    <w:link w:val="732"/>
    <w:uiPriority w:val="10"/>
    <w:rPr>
      <w:sz w:val="48"/>
      <w:szCs w:val="48"/>
    </w:rPr>
  </w:style>
  <w:style w:type="character" w:styleId="35">
    <w:name w:val="Subtitle Char"/>
    <w:basedOn w:val="720"/>
    <w:link w:val="734"/>
    <w:uiPriority w:val="11"/>
    <w:rPr>
      <w:sz w:val="24"/>
      <w:szCs w:val="24"/>
    </w:rPr>
  </w:style>
  <w:style w:type="character" w:styleId="37">
    <w:name w:val="Quote Char"/>
    <w:link w:val="736"/>
    <w:uiPriority w:val="29"/>
    <w:rPr>
      <w:i/>
    </w:rPr>
  </w:style>
  <w:style w:type="character" w:styleId="39">
    <w:name w:val="Intense Quote Char"/>
    <w:link w:val="738"/>
    <w:uiPriority w:val="30"/>
    <w:rPr>
      <w:i/>
    </w:rPr>
  </w:style>
  <w:style w:type="character" w:styleId="41">
    <w:name w:val="Header Char"/>
    <w:basedOn w:val="720"/>
    <w:link w:val="740"/>
    <w:uiPriority w:val="99"/>
  </w:style>
  <w:style w:type="character" w:styleId="45">
    <w:name w:val="Caption Char"/>
    <w:basedOn w:val="744"/>
    <w:link w:val="742"/>
    <w:uiPriority w:val="99"/>
  </w:style>
  <w:style w:type="character" w:styleId="174">
    <w:name w:val="Footnote Text Char"/>
    <w:link w:val="872"/>
    <w:uiPriority w:val="99"/>
    <w:rPr>
      <w:sz w:val="18"/>
    </w:rPr>
  </w:style>
  <w:style w:type="character" w:styleId="177">
    <w:name w:val="Endnote Text Char"/>
    <w:link w:val="875"/>
    <w:uiPriority w:val="99"/>
    <w:rPr>
      <w:sz w:val="20"/>
    </w:rPr>
  </w:style>
  <w:style w:type="paragraph" w:styleId="710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711">
    <w:name w:val="Heading 1"/>
    <w:basedOn w:val="710"/>
    <w:next w:val="710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>
    <w:name w:val="Heading 2"/>
    <w:basedOn w:val="710"/>
    <w:next w:val="710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3">
    <w:name w:val="Heading 3"/>
    <w:basedOn w:val="710"/>
    <w:next w:val="710"/>
    <w:link w:val="7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>
    <w:name w:val="Heading 4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>
    <w:name w:val="Heading 5"/>
    <w:basedOn w:val="710"/>
    <w:next w:val="710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>
    <w:name w:val="Heading 6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7">
    <w:name w:val="Heading 7"/>
    <w:basedOn w:val="710"/>
    <w:next w:val="71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8">
    <w:name w:val="Heading 8"/>
    <w:basedOn w:val="710"/>
    <w:next w:val="710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9">
    <w:name w:val="Heading 9"/>
    <w:basedOn w:val="710"/>
    <w:next w:val="710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Заголовок 1 Знак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basedOn w:val="720"/>
    <w:link w:val="712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Title"/>
    <w:basedOn w:val="710"/>
    <w:next w:val="710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Назва Знак"/>
    <w:basedOn w:val="720"/>
    <w:link w:val="732"/>
    <w:uiPriority w:val="10"/>
    <w:rPr>
      <w:sz w:val="48"/>
      <w:szCs w:val="48"/>
    </w:rPr>
  </w:style>
  <w:style w:type="paragraph" w:styleId="734">
    <w:name w:val="Subtitle"/>
    <w:basedOn w:val="710"/>
    <w:next w:val="710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ідзаголовок Знак"/>
    <w:basedOn w:val="720"/>
    <w:link w:val="734"/>
    <w:uiPriority w:val="11"/>
    <w:rPr>
      <w:sz w:val="24"/>
      <w:szCs w:val="24"/>
    </w:rPr>
  </w:style>
  <w:style w:type="paragraph" w:styleId="736">
    <w:name w:val="Quote"/>
    <w:basedOn w:val="710"/>
    <w:next w:val="710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Знак"/>
    <w:link w:val="736"/>
    <w:uiPriority w:val="29"/>
    <w:rPr>
      <w:i/>
    </w:rPr>
  </w:style>
  <w:style w:type="paragraph" w:styleId="738">
    <w:name w:val="Intense Quote"/>
    <w:basedOn w:val="710"/>
    <w:next w:val="710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Насичена цитата Знак"/>
    <w:link w:val="738"/>
    <w:uiPriority w:val="30"/>
    <w:rPr>
      <w:i/>
    </w:rPr>
  </w:style>
  <w:style w:type="paragraph" w:styleId="740">
    <w:name w:val="Header"/>
    <w:basedOn w:val="710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Верхній колонтитул Знак"/>
    <w:basedOn w:val="720"/>
    <w:link w:val="740"/>
    <w:uiPriority w:val="99"/>
  </w:style>
  <w:style w:type="paragraph" w:styleId="742">
    <w:name w:val="Footer"/>
    <w:basedOn w:val="710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20"/>
    <w:uiPriority w:val="99"/>
  </w:style>
  <w:style w:type="paragraph" w:styleId="744">
    <w:name w:val="Caption"/>
    <w:basedOn w:val="710"/>
    <w:next w:val="71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5" w:customStyle="1">
    <w:name w:val="Нижній колонтитул Знак"/>
    <w:link w:val="742"/>
    <w:uiPriority w:val="99"/>
  </w:style>
  <w:style w:type="table" w:styleId="746" w:customStyle="1">
    <w:name w:val="Table Grid Light"/>
    <w:basedOn w:val="7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5" w:customStyle="1">
    <w:name w:val="Grid Table 4 - Accent 2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6" w:customStyle="1">
    <w:name w:val="Grid Table 4 - Accent 3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7" w:customStyle="1">
    <w:name w:val="Grid Table 4 - Accent 4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8" w:customStyle="1">
    <w:name w:val="Grid Table 4 - Accent 5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9" w:customStyle="1">
    <w:name w:val="Grid Table 4 - Accent 6"/>
    <w:basedOn w:val="7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0">
    <w:name w:val="Grid Table 5 Dark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9" w:customStyle="1">
    <w:name w:val="Grid Table 6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0" w:customStyle="1">
    <w:name w:val="Grid Table 6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1" w:customStyle="1">
    <w:name w:val="Grid Table 6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2" w:customStyle="1">
    <w:name w:val="Grid Table 6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Grid Table 6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>
    <w:name w:val="Grid Table 7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0" w:customStyle="1">
    <w:name w:val="List Table 2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1" w:customStyle="1">
    <w:name w:val="List Table 2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2" w:customStyle="1">
    <w:name w:val="List Table 2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3" w:customStyle="1">
    <w:name w:val="List Table 2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4" w:customStyle="1">
    <w:name w:val="List Table 2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5">
    <w:name w:val="List Table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8" w:customStyle="1">
    <w:name w:val="List Table 6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9" w:customStyle="1">
    <w:name w:val="List Table 6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0" w:customStyle="1">
    <w:name w:val="List Table 6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1" w:customStyle="1">
    <w:name w:val="List Table 6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2" w:customStyle="1">
    <w:name w:val="List Table 6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3">
    <w:name w:val="List Table 7 Colorful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Lined - Accent 1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2" w:customStyle="1">
    <w:name w:val="Lined - Accent 2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3" w:customStyle="1">
    <w:name w:val="Lined - Accent 3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4" w:customStyle="1">
    <w:name w:val="Lined - Accent 4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5" w:customStyle="1">
    <w:name w:val="Lined - Accent 5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6" w:customStyle="1">
    <w:name w:val="Lined - Accent 6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7" w:customStyle="1">
    <w:name w:val="Bordered &amp; Lined - Accent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Bordered &amp; Lined - Accent 1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9" w:customStyle="1">
    <w:name w:val="Bordered &amp; Lined - Accent 2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0" w:customStyle="1">
    <w:name w:val="Bordered &amp; Lined - Accent 3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1" w:customStyle="1">
    <w:name w:val="Bordered &amp; Lined - Accent 4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2" w:customStyle="1">
    <w:name w:val="Bordered &amp; Lined - Accent 5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3" w:customStyle="1">
    <w:name w:val="Bordered &amp; Lined - Accent 6"/>
    <w:basedOn w:val="72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4" w:customStyle="1">
    <w:name w:val="Bordered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6" w:customStyle="1">
    <w:name w:val="Bordered - Accent 2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7" w:customStyle="1">
    <w:name w:val="Bordered - Accent 3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8" w:customStyle="1">
    <w:name w:val="Bordered - Accent 4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9" w:customStyle="1">
    <w:name w:val="Bordered - Accent 5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0" w:customStyle="1">
    <w:name w:val="Bordered - Accent 6"/>
    <w:basedOn w:val="7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563C1" w:themeColor="hyperlink"/>
      <w:u w:val="single"/>
    </w:rPr>
  </w:style>
  <w:style w:type="paragraph" w:styleId="872">
    <w:name w:val="footnote text"/>
    <w:basedOn w:val="710"/>
    <w:link w:val="873"/>
    <w:uiPriority w:val="99"/>
    <w:semiHidden/>
    <w:unhideWhenUsed/>
    <w:rPr>
      <w:sz w:val="18"/>
    </w:rPr>
    <w:pPr>
      <w:spacing w:after="40"/>
    </w:pPr>
  </w:style>
  <w:style w:type="character" w:styleId="873" w:customStyle="1">
    <w:name w:val="Текст виноски Знак"/>
    <w:link w:val="872"/>
    <w:uiPriority w:val="99"/>
    <w:rPr>
      <w:sz w:val="18"/>
    </w:rPr>
  </w:style>
  <w:style w:type="character" w:styleId="874">
    <w:name w:val="footnote reference"/>
    <w:basedOn w:val="720"/>
    <w:uiPriority w:val="99"/>
    <w:unhideWhenUsed/>
    <w:rPr>
      <w:vertAlign w:val="superscript"/>
    </w:rPr>
  </w:style>
  <w:style w:type="paragraph" w:styleId="875">
    <w:name w:val="endnote text"/>
    <w:basedOn w:val="710"/>
    <w:link w:val="876"/>
    <w:uiPriority w:val="99"/>
    <w:semiHidden/>
    <w:unhideWhenUsed/>
  </w:style>
  <w:style w:type="character" w:styleId="876" w:customStyle="1">
    <w:name w:val="Текст кінцевої виноски Знак"/>
    <w:link w:val="875"/>
    <w:uiPriority w:val="99"/>
    <w:rPr>
      <w:sz w:val="20"/>
    </w:rPr>
  </w:style>
  <w:style w:type="character" w:styleId="877">
    <w:name w:val="endnote reference"/>
    <w:basedOn w:val="720"/>
    <w:uiPriority w:val="99"/>
    <w:semiHidden/>
    <w:unhideWhenUsed/>
    <w:rPr>
      <w:vertAlign w:val="superscript"/>
    </w:rPr>
  </w:style>
  <w:style w:type="paragraph" w:styleId="878">
    <w:name w:val="toc 1"/>
    <w:basedOn w:val="710"/>
    <w:next w:val="710"/>
    <w:uiPriority w:val="39"/>
    <w:unhideWhenUsed/>
    <w:pPr>
      <w:spacing w:after="57"/>
    </w:pPr>
  </w:style>
  <w:style w:type="paragraph" w:styleId="879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80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81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82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83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84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85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86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710"/>
    <w:next w:val="710"/>
    <w:uiPriority w:val="99"/>
    <w:unhideWhenUsed/>
  </w:style>
  <w:style w:type="paragraph" w:styleId="889">
    <w:name w:val="Balloon Text"/>
    <w:basedOn w:val="710"/>
    <w:link w:val="8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0" w:customStyle="1">
    <w:name w:val="Текст у виносці Знак"/>
    <w:basedOn w:val="720"/>
    <w:link w:val="889"/>
    <w:uiPriority w:val="99"/>
    <w:semiHidden/>
    <w:rPr>
      <w:rFonts w:ascii="Segoe UI" w:hAnsi="Segoe UI" w:cs="Segoe UI"/>
      <w:sz w:val="18"/>
      <w:szCs w:val="18"/>
    </w:rPr>
  </w:style>
  <w:style w:type="paragraph" w:styleId="891">
    <w:name w:val="No Spacing"/>
    <w:link w:val="892"/>
    <w:qFormat/>
    <w:uiPriority w:val="1"/>
    <w:pPr>
      <w:spacing w:lineRule="auto" w:line="240" w:after="0"/>
    </w:pPr>
  </w:style>
  <w:style w:type="character" w:styleId="892" w:customStyle="1">
    <w:name w:val="Без інтервалів Знак"/>
    <w:basedOn w:val="720"/>
    <w:link w:val="891"/>
    <w:uiPriority w:val="1"/>
  </w:style>
  <w:style w:type="paragraph" w:styleId="893">
    <w:name w:val="List Paragraph"/>
    <w:basedOn w:val="710"/>
    <w:qFormat/>
    <w:uiPriority w:val="34"/>
    <w:pPr>
      <w:contextualSpacing w:val="true"/>
      <w:ind w:left="720"/>
    </w:pPr>
  </w:style>
  <w:style w:type="table" w:styleId="894">
    <w:name w:val="Table Grid"/>
    <w:basedOn w:val="72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E739152-9BC1-40CC-BFD4-DADD1B20B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SilRada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СТАРОДУБ Людмила Олександрівна</cp:lastModifiedBy>
  <cp:revision>25</cp:revision>
  <dcterms:created xsi:type="dcterms:W3CDTF">2023-12-19T06:48:00Z</dcterms:created>
  <dcterms:modified xsi:type="dcterms:W3CDTF">2024-02-11T16:48:26Z</dcterms:modified>
</cp:coreProperties>
</file>