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 w:right="0" w:firstLine="0"/>
        <w:spacing w:lineRule="auto" w:line="240" w:after="0" w:afterAutospacing="0"/>
        <w:widowControl w:val="off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Додаток 4 </w:t>
      </w: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ind w:left="5528" w:right="0" w:firstLine="0"/>
        <w:spacing w:lineRule="auto" w:line="240" w:after="0" w:afterAutospacing="0"/>
        <w:widowControl w:val="off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до рішення 44 сесії Менської міської ради 8 скликання </w:t>
      </w: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ind w:left="5528" w:right="0" w:firstLine="0"/>
        <w:spacing w:lineRule="auto" w:line="240" w:after="0" w:afterAutospacing="0"/>
        <w:widowControl w:val="off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січня 2024 року №___</w:t>
      </w: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  <w:lang w:val="uk-UA" w:eastAsia="ru-RU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  <w:lang w:val="uk-UA" w:eastAsia="ru-RU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color w:val="000000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МЕМОРАНДУМ ПРО СПІВРОБІТНИЦТВО 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між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Громадською організацією «ДІКСІ ГРУП»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ською міською радою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м. Київ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        «___» _______ 202_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року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Громадська організація «ДІКСІ ГРУП» (далі – ДІКСІ ГРУП), 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Президента Павленко Олени Михайлівни, яка діє на підставі Статуту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з однієї сторони, та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ська міська рада, інтереси якої представляє міський голова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Примаков Геннадій Анатолійович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який діє на підставі Закону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 іншої сторони, які далі разом іменуються Сторони, а кожний окремо – Сторона, уклали цей Меморандум про співробітництво (далі – Меморандум) про таке: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1. Предмет Меморандуму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Предметом Меморандуму є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розвиток співробітництва між Сторонами в розробці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уніципального енергетичного плану відповідно до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вимог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Закону України «Про енергетичну ефективність»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Порядку розроблення та оновлення місцевих енергетичних планів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затвердженого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наказом Міністерства розвитку громад, територій та інфраструктури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Сторони домовилися співпрацювати в підготовці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Муніципального енергетичного плану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громади на період до 2030 року для подальшого його погодження у встановленому законодавством порядку.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Стаття 2. Мета та задачі Меморандуму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Цей Меморандум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укладений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метою виконання наступних задач: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процесу створення муніципального енергетичного плану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ською міською радою;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процесу збору вихідних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необхідних для розробки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муніципального енергетичного плану та проведення аналізу вихідного стану енергетичного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громади;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2.1.3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координація розроблення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Муніципального енергетичного плану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громади на період до 2030 року;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2.1.4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у затвердженні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ською міською радою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Муніципального енергетичного плану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громади на період до 2030 року.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Сторони домовилися про те, що спільно діятимуть на виконання перелічених задач.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3. Організація співробітництва</w:t>
      </w:r>
      <w:r/>
    </w:p>
    <w:p>
      <w:pPr>
        <w:jc w:val="both"/>
        <w:spacing w:lineRule="auto" w:line="240" w:after="0" w:afterAutospacing="0"/>
        <w:tabs>
          <w:tab w:val="left" w:pos="720" w:leader="none"/>
        </w:tabs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3.1. У рамках цього Меморандуму Сторони прагнуть будувати свої відносини на підставі рівності, партнерства та захисту прав та інтересів кожної із Сторін.</w:t>
      </w:r>
      <w:r/>
    </w:p>
    <w:p>
      <w:pPr>
        <w:jc w:val="both"/>
        <w:spacing w:lineRule="auto" w:line="240" w:after="0" w:afterAutospacing="0"/>
        <w:tabs>
          <w:tab w:val="left" w:pos="720" w:leader="none"/>
        </w:tabs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3.2. ДІКСІ ГРУП консультує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ську міську раду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 розробці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проєкту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Муніципального енергетичного плану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ської міської територіальної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громади на період до 2030 року.</w:t>
      </w:r>
      <w:r/>
    </w:p>
    <w:p>
      <w:pPr>
        <w:jc w:val="both"/>
        <w:spacing w:lineRule="auto" w:line="240" w:after="0" w:afterAutospacing="0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3.3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ська міська рада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ініціює розроблення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муніципального енергетичного плану шляхом прийняття рішення щодо розроблення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уніципального енергетичного плану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громади на період до 2030 року, визначає головного розробника та створює координаційну-робочу групу з питань сталого енергетичного розвитку територіальної громади.</w:t>
      </w:r>
      <w:r/>
    </w:p>
    <w:p>
      <w:pPr>
        <w:jc w:val="both"/>
        <w:spacing w:lineRule="auto" w:line="240" w:after="0" w:afterAutospacing="0"/>
        <w:tabs>
          <w:tab w:val="left" w:pos="720" w:leader="none"/>
        </w:tabs>
        <w:rPr>
          <w:rFonts w:ascii="Times New Roman" w:hAnsi="Times New Roman" w:cs="Times New Roman"/>
          <w:sz w:val="24"/>
          <w:szCs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ська міська рада розміщ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є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про прийняте рішення щодо розроблення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уніципального енергетичного плану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громади на період до 2030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офіційному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вебсайті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разом з орієнтовним графіком заходів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муніципального енергетичного плану та місцевої програми на виконання муніципального енергетичного плану, терміном і формою подання пропозицій.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3.5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ська міська рада надсилає запити на відповідні підприємства, установи, організації, засновником яких є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ська міська рада, а також до інших підприє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мств, зокрема, оператора системи розподілу, на оператора газорозподільчих мереж тощо, для отримання інформації, необхідної для розробки муніципального енергетичного плану, та іншої інформації щодо енергоспоживання, яка не відноситься до державної таємниці.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3.6.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ська міська рада надає інформацію про діючі/розроблені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програмні документи у сферах забезпечення енергетичної ефективності, розвитку енергетики (у тому числі відновлюваної енергетики), економіки, сталого розвитку та охорони навколишнього природного середовища, а також стратегії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розвитку області та територіальної громади, місцевих містобудівних програм, генеральних планів забудови відповідних населених пунктів, комплексних планів просторового розвитку територій територіальних громад тощо, затверджених відповідно до законодавства.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ська міська рада сприяє в організації навчання для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підвищенні їх 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питаннях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сталого енергетичного розвитку,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«зеленого» відновлення, Європейського зеленого курсу, впровадження та реалізації заходів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енергоефективності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систем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енергоменеджменту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3.8.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ДІКСІ ГРУП консультує координаційну-робочу групу в проведенні аналізу вихідного стану енергетичного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громади, який здійснюється з метою опрацювання та систематизації зібраних вихідних даних, проведення відповідних розрахунків, їх інтерпретації та формування висновків.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3.9.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ДІКСІ ГРУП консультує координаційну-робочу групу на етапі визначення базової лінії споживання енергії та цілей сталого енергетичного розвитку територіальної громади.</w:t>
      </w:r>
      <w:r/>
    </w:p>
    <w:p>
      <w:pPr>
        <w:pStyle w:val="663"/>
        <w:numPr>
          <w:ilvl w:val="1"/>
          <w:numId w:val="2"/>
        </w:numPr>
        <w:ind w:left="0" w:firstLine="567"/>
        <w:jc w:val="both"/>
        <w:keepLines/>
        <w:spacing w:lineRule="auto" w:line="240" w:after="0" w:afterAutospacing="0" w:before="0"/>
        <w:tabs>
          <w:tab w:val="left" w:pos="851" w:leader="none"/>
          <w:tab w:val="left" w:pos="1134" w:leader="none"/>
          <w:tab w:val="left" w:pos="1418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ДІКСІ ГРУП консультує координаційну-робочу групу на етапі координації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м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уніципального енергетичного плану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, що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 здійснюється з метою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його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взаємоузгодження зі стратегічними і програмними документами, відповідними цілями та/або цільовими показниками, затвердженими на національному та обласному рівнях. </w:t>
      </w:r>
      <w:r/>
    </w:p>
    <w:p>
      <w:pPr>
        <w:pStyle w:val="663"/>
        <w:numPr>
          <w:ilvl w:val="1"/>
          <w:numId w:val="2"/>
        </w:numPr>
        <w:ind w:left="0" w:firstLine="567"/>
        <w:jc w:val="both"/>
        <w:keepLines/>
        <w:spacing w:lineRule="auto" w:line="240" w:after="0" w:afterAutospacing="0" w:before="0"/>
        <w:tabs>
          <w:tab w:val="left" w:pos="851" w:leader="none"/>
          <w:tab w:val="left" w:pos="1134" w:leader="none"/>
          <w:tab w:val="left" w:pos="1418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ДІКСІ ГРУП консультує координаційну-робочу групу на етапі затвердження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М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уніципального енергетичного плану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Мен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ської міської територіальної громади на період до 2030 року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/>
      <w:bookmarkStart w:id="0" w:name="_heading=h.iknpj0rfkqxd"/>
      <w:r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12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Співпраця Сторін здійснюється на основі цього Меморандуму та інших договорів, які можуть бути укладені на виконання завдань даного Меморандуму.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Сторони самостійно визначають і формують склад своїх учасників для участі у спільних заходах.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3.14. З метою ефективної розробки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проєкту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муніципального енергетичного плану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Мен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ська міська рада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зобов’язується визначити координатора та його дублера, надаючи контакти цих осіб (посада, мобільний телефон, електронна пошта) офіційним або електронним листом.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3.15. Координатором зі сторони </w:t>
      </w:r>
      <w:r>
        <w:rPr>
          <w:rFonts w:ascii="Times New Roman" w:hAnsi="Times New Roman"/>
          <w:sz w:val="24"/>
          <w:szCs w:val="24"/>
          <w:lang w:val="uk-UA"/>
        </w:rPr>
        <w:t xml:space="preserve">ДІКСІ ГРУП</w:t>
      </w:r>
      <w:r>
        <w:rPr>
          <w:rFonts w:ascii="Times New Roman" w:hAnsi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 xml:space="preserve">розробці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проєкту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Муніципального енергетичного плану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територіальної громади на період до 2030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є Коваленко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Вікторія Анатоліївна, генеральний менеджер зі сталого розвитку </w:t>
      </w:r>
      <w:r>
        <w:rPr>
          <w:rFonts w:ascii="Times New Roman" w:hAnsi="Times New Roman"/>
          <w:sz w:val="24"/>
          <w:szCs w:val="24"/>
          <w:lang w:val="uk-UA"/>
        </w:rPr>
        <w:t xml:space="preserve">ДІКСІ ГРУП</w:t>
      </w:r>
      <w:r>
        <w:rPr>
          <w:rFonts w:ascii="Times New Roman" w:hAnsi="Times New Roman"/>
          <w:sz w:val="24"/>
          <w:szCs w:val="24"/>
          <w:lang w:val="uk-UA"/>
        </w:rPr>
        <w:t xml:space="preserve">, моб.+380672142304, електронна адреса </w:t>
      </w:r>
      <w:r>
        <w:rPr>
          <w:rFonts w:ascii="Times New Roman" w:hAnsi="Times New Roman"/>
          <w:sz w:val="24"/>
          <w:szCs w:val="24"/>
          <w:lang w:val="uk-UA"/>
        </w:rPr>
        <w:t xml:space="preserve">v.kovalenko@dixigroup.org</w:t>
      </w:r>
      <w:r>
        <w:rPr>
          <w:rFonts w:ascii="Times New Roman" w:hAnsi="Times New Roman"/>
          <w:sz w:val="24"/>
          <w:szCs w:val="24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Сторони можуть пропонувати перспективні напрямки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виходять за межі завдань цього Меморандуму, для розширення співробітництва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17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Сторони домовилися, що умови Меморандуму не є конфіденційними та можуть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надаватися третім особам у разі необхідності.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8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Сторони сприяють розвитку інших форм співробітництва для досягнення зазначених у Меморандумі цілей.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3.1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9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Сторони беруть на себе зобов’язання забезпечити збереження переданих іншою Стороною для ознайомлення, розгляду та опрацювання документальних матеріалів іншої Сторони, повернути їх в цілісності і за першою вимогою.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Стаття 4. Набуття чинності</w:t>
      </w:r>
      <w:r/>
    </w:p>
    <w:p>
      <w:pPr>
        <w:ind w:firstLine="567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Цей Меморандум набуває чинності з моменту підписання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обома Сторонами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діє до 31.12.2024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Стаття 5. Інші положення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5.1. Сторони розглядають Меморандум як декларацію про наміри, що не призводять до юридичних чи фінансових наслідків або зобов’язань для будь-кого з них.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5.2. Відносини Сторін, які виникли у Меморандумі, є виключно відносинами незалежних Сторін.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5.3. Кожна Сторона має право співпрацювати з третьою стороною з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будь-яких питань, подібних до тих, які передбачаються Меморандумом.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5.4. Усі суперечки стосовно тлумачення і застосування положень Меморандуму будуть вирішуватися шляхом переговорів та консультацій між Сторонами.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5.5.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невиконання умов Меморандуму Сторони встановлюють причини та шляхом узгоджень налагоджують спільну роботу. Якщо виконання Меморандуму неможливе, кожна зі Сторін може ініціювати припинення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дії.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припинення дії Меморандуму зацікавлена Сторона письмово заявляє про свій намір не пізніше, як за один місяць до зазначеної дати. Після настання цієї дати Меморандум вважається припиненим.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5.7. Текст Меморандуму складений українською мовою та підписаний у двох примірниках, по одному для кожної зі Сторін, при цьому всі примірники мають однакову юридичну силу.</w:t>
      </w:r>
      <w:r/>
    </w:p>
    <w:p>
      <w:pPr>
        <w:ind w:firstLine="567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5.8. Усі зміни та доповнення до Меморандуму повинні бути прийняті лише за згодою Сторін шляхом підписання відповідних Додатків, що є невід’ємною частиною Меморандуму.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5.9. Сторони зобов’язуються повідомляти одна одну про змін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реквізитів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(поштова адреса, електронна пошта) та керівного складу громади, координатора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розробки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муніципального енергетичного плану та інші зміни, які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впливати на виконання зобов’язань щодо Меморандуму.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5.10. У випадках,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передбачених Меморандумом, сторони керуються нормами законодавства України.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6. Підписи Сторін</w:t>
      </w:r>
      <w:r/>
    </w:p>
    <w:tbl>
      <w:tblPr>
        <w:tblW w:w="9802" w:type="dxa"/>
        <w:tblInd w:w="-106" w:type="dxa"/>
        <w:tblLook w:val="00A0" w:firstRow="1" w:lastRow="0" w:firstColumn="1" w:lastColumn="0" w:noHBand="0" w:noVBand="0"/>
      </w:tblPr>
      <w:tblGrid>
        <w:gridCol w:w="4818"/>
        <w:gridCol w:w="4984"/>
      </w:tblGrid>
      <w:tr>
        <w:trPr>
          <w:trHeight w:val="3208"/>
        </w:trPr>
        <w:tc>
          <w:tcPr>
            <w:tcW w:w="4818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Громадська організація «ДІКСІ ГРУП»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01021, м. Київ,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Інститутська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18 а, офіс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+38 044 253 66 94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e-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author@dixigroup.org 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uk-UA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uk-UA" w:eastAsia="ru-RU"/>
              </w:rPr>
            </w:r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Президент: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   О.М. Павленко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________________________20____ р.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М.П.</w:t>
            </w:r>
            <w:r/>
          </w:p>
        </w:tc>
        <w:tc>
          <w:tcPr>
            <w:tcW w:w="4984" w:type="dxa"/>
            <w:textDirection w:val="lrTb"/>
            <w:noWrap w:val="false"/>
          </w:tcPr>
          <w:p>
            <w:pPr>
              <w:ind w:right="-58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Менська міська 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15600, Чернігівська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/>
          </w:p>
          <w:p>
            <w:pPr>
              <w:ind w:right="-58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Героїв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 w:eastAsia="ru-RU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e-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miskradamena@cg.gov.ua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  <w:p>
            <w:pPr>
              <w:ind w:right="-58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uk-UA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uk-UA" w:eastAsia="ru-RU"/>
              </w:rPr>
            </w:r>
          </w:p>
          <w:p>
            <w:pPr>
              <w:ind w:right="-58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Міський голова: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  <w:p>
            <w:pPr>
              <w:ind w:right="-58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_____________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Примаков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/>
          </w:p>
          <w:p>
            <w:pPr>
              <w:ind w:right="-58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 20____ р.</w:t>
            </w:r>
            <w:r/>
          </w:p>
          <w:p>
            <w:pPr>
              <w:ind w:right="-58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М.П.</w:t>
            </w:r>
            <w:r/>
          </w:p>
        </w:tc>
      </w:tr>
    </w:tbl>
    <w:p>
      <w:pPr>
        <w:spacing w:lineRule="auto" w:line="240" w:after="0" w:afterAutospacing="0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</w:t>
    </w:r>
    <w:r>
      <w:rPr>
        <w:rFonts w:ascii="Times New Roman" w:hAnsi="Times New Roman" w:cs="Times New Roman"/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2"/>
    <w:next w:val="66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4"/>
    <w:link w:val="11"/>
    <w:uiPriority w:val="9"/>
    <w:rPr>
      <w:rFonts w:ascii="Arial" w:hAnsi="Arial" w:cs="Arial" w:eastAsia="Arial"/>
      <w:sz w:val="40"/>
      <w:szCs w:val="40"/>
    </w:rPr>
  </w:style>
  <w:style w:type="paragraph" w:styleId="15">
    <w:name w:val="Heading 3"/>
    <w:basedOn w:val="662"/>
    <w:next w:val="6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2"/>
    <w:next w:val="6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2"/>
    <w:next w:val="6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4"/>
    <w:link w:val="32"/>
    <w:uiPriority w:val="10"/>
    <w:rPr>
      <w:sz w:val="48"/>
      <w:szCs w:val="48"/>
    </w:rPr>
  </w:style>
  <w:style w:type="paragraph" w:styleId="34">
    <w:name w:val="Subtitle"/>
    <w:basedOn w:val="662"/>
    <w:next w:val="6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4"/>
    <w:link w:val="34"/>
    <w:uiPriority w:val="11"/>
    <w:rPr>
      <w:sz w:val="24"/>
      <w:szCs w:val="24"/>
    </w:rPr>
  </w:style>
  <w:style w:type="paragraph" w:styleId="36">
    <w:name w:val="Quote"/>
    <w:basedOn w:val="662"/>
    <w:next w:val="6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2"/>
    <w:next w:val="66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2">
    <w:name w:val="Footer"/>
    <w:basedOn w:val="66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4"/>
    <w:link w:val="42"/>
    <w:uiPriority w:val="99"/>
  </w:style>
  <w:style w:type="paragraph" w:styleId="44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6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79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rPr>
      <w:rFonts w:ascii="Calibri" w:hAnsi="Calibri" w:cs="Calibri" w:eastAsia="Times New Roman"/>
      <w:sz w:val="22"/>
      <w:szCs w:val="22"/>
      <w:lang w:val="ru-RU"/>
    </w:rPr>
    <w:pPr>
      <w:spacing w:lineRule="auto" w:line="259" w:after="160"/>
    </w:pPr>
  </w:style>
  <w:style w:type="paragraph" w:styleId="663">
    <w:name w:val="Heading 2"/>
    <w:basedOn w:val="662"/>
    <w:next w:val="662"/>
    <w:link w:val="667"/>
    <w:qFormat/>
    <w:unhideWhenUsed/>
    <w:rPr>
      <w:rFonts w:ascii="Calibri Light" w:hAnsi="Calibri Light" w:cs="Times New Roman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link w:val="663"/>
    <w:rPr>
      <w:rFonts w:ascii="Calibri Light" w:hAnsi="Calibri Light" w:cs="Times New Roman" w:eastAsia="Times New Roman"/>
      <w:b/>
      <w:bCs/>
      <w:i/>
      <w:iCs/>
      <w:sz w:val="28"/>
      <w:szCs w:val="28"/>
      <w:lang w:val="ru-RU"/>
    </w:rPr>
  </w:style>
  <w:style w:type="paragraph" w:styleId="668">
    <w:name w:val="Header"/>
    <w:basedOn w:val="662"/>
    <w:link w:val="669"/>
    <w:uiPriority w:val="99"/>
    <w:rPr>
      <w:rFonts w:eastAsia="Calibri"/>
      <w:sz w:val="20"/>
      <w:szCs w:val="20"/>
      <w:lang w:val="uk-UA" w:eastAsia="uk-UA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9" w:customStyle="1">
    <w:name w:val="Header Char"/>
    <w:basedOn w:val="664"/>
    <w:link w:val="668"/>
    <w:uiPriority w:val="99"/>
    <w:rPr>
      <w:rFonts w:ascii="Calibri" w:hAnsi="Calibri" w:cs="Calibri" w:eastAsia="Calibri"/>
      <w:sz w:val="20"/>
      <w:szCs w:val="20"/>
      <w:lang w:val="uk-UA" w:eastAsia="uk-UA"/>
    </w:rPr>
  </w:style>
  <w:style w:type="character" w:styleId="670">
    <w:name w:val="Hyperlink"/>
    <w:basedOn w:val="664"/>
    <w:uiPriority w:val="99"/>
    <w:unhideWhenUsed/>
    <w:rPr>
      <w:color w:val="0563C1" w:themeColor="hyperlink"/>
      <w:u w:val="single"/>
    </w:rPr>
  </w:style>
  <w:style w:type="character" w:styleId="671">
    <w:name w:val="Unresolved Mention"/>
    <w:basedOn w:val="664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Мамойлик Вікторія Олегівна</dc:creator>
  <cp:keywords/>
  <dc:description/>
  <cp:lastModifiedBy>ПРИМАКОВ Геннадій Анатолійович</cp:lastModifiedBy>
  <cp:revision>9</cp:revision>
  <dcterms:created xsi:type="dcterms:W3CDTF">2024-01-01T12:08:00Z</dcterms:created>
  <dcterms:modified xsi:type="dcterms:W3CDTF">2024-01-24T15:17:08Z</dcterms:modified>
</cp:coreProperties>
</file>