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</w:pP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/>
    </w:p>
    <w:p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65</w:t>
      </w:r>
      <w:r/>
    </w:p>
    <w:p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16 по вул. Перемоги в с-ще Садове</w:t>
      </w:r>
      <w:r>
        <w:rPr>
          <w:color w:val="000000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16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Грищенко Ірини Олексіївни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</w:t>
      </w:r>
      <w:r>
        <w:rPr>
          <w:rStyle w:val="929"/>
          <w:rFonts w:eastAsia="Arial"/>
          <w:b w:val="false"/>
          <w:color w:val="000000"/>
          <w:sz w:val="28"/>
          <w:szCs w:val="28"/>
        </w:rPr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16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Садове,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Менська міська рада </w:t>
      </w:r>
      <w:r/>
    </w:p>
    <w:p>
      <w:r>
        <w:rPr>
          <w:sz w:val="28"/>
          <w:szCs w:val="28"/>
        </w:rPr>
        <w:t xml:space="preserve">ВИРІШИЛА: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дозвіл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створення органу самоорганізації населення та визначити його назву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“Садок” будинку № 16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“Садок”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нку 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“Садок”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“Садок”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rStyle w:val="929"/>
          <w:rFonts w:eastAsia="Arial"/>
          <w:color w:val="000000"/>
          <w:sz w:val="28"/>
          <w:szCs w:val="28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“Садок”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16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rStyle w:val="929"/>
          <w:rFonts w:eastAsia="Arial"/>
          <w:color w:val="000000"/>
          <w:sz w:val="28"/>
          <w:lang w:val="uk-UA"/>
        </w:rPr>
      </w:r>
      <w:r>
        <w:rPr>
          <w:rStyle w:val="929"/>
          <w:rFonts w:eastAsia="Arial"/>
          <w:color w:val="000000"/>
          <w:sz w:val="28"/>
          <w:lang w:val="uk-UA"/>
        </w:rPr>
      </w:r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lang w:val="uk-UA"/>
        </w:rPr>
      </w:r>
      <w:r/>
    </w:p>
    <w:p>
      <w:pPr>
        <w:pStyle w:val="945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lang w:val="uk-UA"/>
        </w:rPr>
      </w:r>
      <w:r/>
    </w:p>
    <w:p>
      <w:pPr>
        <w:pStyle w:val="946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lang w:val="uk-UA"/>
        </w:rPr>
      </w:r>
      <w:r/>
    </w:p>
    <w:p>
      <w:pPr>
        <w:pStyle w:val="949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lang w:val="uk-UA"/>
        </w:rPr>
      </w:r>
      <w:r/>
    </w:p>
    <w:p>
      <w:pPr>
        <w:pStyle w:val="954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5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“Садок”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16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6"/>
        <w:ind w:firstLine="705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Fonts w:eastAsia="Arial"/>
          <w:color w:val="000000"/>
          <w:lang w:val="uk-UA"/>
        </w:rPr>
      </w:r>
      <w:r/>
    </w:p>
    <w:p>
      <w:pPr>
        <w:pStyle w:val="956"/>
        <w:ind w:firstLine="705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Грищенко Ірину Олексіївну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p>
      <w:pPr>
        <w:tabs>
          <w:tab w:val="left" w:pos="6803" w:leader="none"/>
        </w:tabs>
      </w:pPr>
      <w:r/>
      <w:r/>
    </w:p>
    <w:p>
      <w:pPr>
        <w:tabs>
          <w:tab w:val="left" w:pos="6803" w:leader="none"/>
        </w:tabs>
      </w:pPr>
      <w:r/>
      <w:r/>
    </w:p>
    <w:p>
      <w:pPr>
        <w:tabs>
          <w:tab w:val="left" w:pos="6803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2024-01-25T17:58:45Z</dcterms:modified>
</cp:coreProperties>
</file>