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6" w:right="0" w:firstLine="0"/>
        <w:jc w:val="both"/>
        <w:spacing w:before="0" w:beforeAutospacing="0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Додаток </w:t>
      </w:r>
      <w:r>
        <w:rPr>
          <w:bCs/>
          <w:color w:val="000000"/>
          <w:sz w:val="28"/>
          <w:szCs w:val="28"/>
        </w:rPr>
      </w:r>
      <w:r/>
    </w:p>
    <w:p>
      <w:pPr>
        <w:ind w:left="6236" w:right="0" w:firstLine="0"/>
        <w:jc w:val="both"/>
        <w:spacing w:before="0" w:beforeAutospacing="0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до рішення 44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сесії Менської </w:t>
      </w:r>
      <w:r>
        <w:rPr>
          <w:bCs/>
          <w:color w:val="000000"/>
          <w:sz w:val="28"/>
          <w:szCs w:val="28"/>
        </w:rPr>
        <w:t xml:space="preserve">міської ради 8 скликання</w:t>
      </w:r>
      <w:r>
        <w:rPr>
          <w:color w:val="000000"/>
          <w:sz w:val="28"/>
          <w:szCs w:val="28"/>
        </w:rPr>
      </w:r>
      <w:r/>
    </w:p>
    <w:p>
      <w:pPr>
        <w:ind w:left="6236" w:right="0" w:firstLine="0"/>
        <w:jc w:val="both"/>
        <w:spacing w:before="0" w:beforeAutospacing="0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24 січня 2024 </w:t>
      </w:r>
      <w:r>
        <w:rPr>
          <w:bCs/>
          <w:color w:val="000000"/>
          <w:sz w:val="28"/>
          <w:szCs w:val="28"/>
        </w:rPr>
        <w:t xml:space="preserve">року №</w:t>
      </w:r>
      <w:r>
        <w:rPr>
          <w:bCs/>
          <w:color w:val="000000"/>
          <w:sz w:val="28"/>
          <w:szCs w:val="28"/>
        </w:rPr>
        <w:t xml:space="preserve">01</w:t>
      </w:r>
      <w:r/>
    </w:p>
    <w:p>
      <w:pPr>
        <w:ind w:firstLine="567"/>
        <w:jc w:val="center"/>
        <w:spacing w:before="0" w:beforeAutospacing="0"/>
        <w:rPr>
          <w:color w:val="000000"/>
        </w:rPr>
      </w:pPr>
      <w:r>
        <w:rPr>
          <w:b/>
          <w:color w:val="000000"/>
          <w:sz w:val="6"/>
          <w:szCs w:val="28"/>
        </w:rPr>
      </w:r>
      <w:r>
        <w:rPr>
          <w:b/>
          <w:color w:val="000000"/>
          <w:sz w:val="6"/>
          <w:szCs w:val="28"/>
        </w:rPr>
      </w:r>
      <w:r/>
    </w:p>
    <w:p>
      <w:pPr>
        <w:jc w:val="center"/>
        <w:spacing w:before="0" w:beforeAutospacing="0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Звіт </w:t>
      </w:r>
      <w:r>
        <w:rPr>
          <w:b/>
          <w:color w:val="000000"/>
          <w:sz w:val="28"/>
          <w:szCs w:val="28"/>
        </w:rPr>
        <w:t xml:space="preserve">про стан виконання </w:t>
      </w:r>
      <w:r>
        <w:rPr>
          <w:b/>
          <w:color w:val="000000"/>
          <w:sz w:val="28"/>
          <w:szCs w:val="28"/>
        </w:rPr>
        <w:t xml:space="preserve">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за 2023 рік</w:t>
      </w:r>
      <w:r>
        <w:rPr>
          <w:b/>
        </w:rPr>
      </w:r>
      <w:r/>
    </w:p>
    <w:p>
      <w:pPr>
        <w:ind w:firstLine="567"/>
        <w:jc w:val="center"/>
        <w:spacing w:before="0" w:beforeAutospacing="0"/>
        <w:rPr>
          <w:color w:val="000000"/>
        </w:rPr>
        <w:suppressLineNumbers w:val="0"/>
      </w:pPr>
      <w:r>
        <w:rPr>
          <w:b/>
          <w:color w:val="000000"/>
          <w:sz w:val="4"/>
          <w:szCs w:val="28"/>
        </w:rPr>
      </w:r>
      <w:r>
        <w:rPr>
          <w:b/>
          <w:color w:val="000000"/>
          <w:sz w:val="4"/>
          <w:szCs w:val="28"/>
        </w:rPr>
      </w:r>
      <w:r/>
    </w:p>
    <w:p>
      <w:pPr>
        <w:ind w:left="0" w:right="0" w:firstLine="567"/>
        <w:jc w:val="both"/>
        <w:spacing w:lineRule="atLeast" w:line="57"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color w:val="000000"/>
          <w:sz w:val="28"/>
          <w:szCs w:val="28"/>
        </w:rPr>
        <w:t xml:space="preserve">З метою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розвитку місцевого самоврядування, налагодження поінформованості мешканців громади про роботу органів місцевого самоврядування та ситуацію в територіальній громаді, розширення сфер впливу на органі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заційні процеси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 населених пунктах громади, активізацію діяльності депутатського корпусу і громадськості,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 2023 рік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реалізовувались заходи визначені програмою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підтримки та розвитку місцевого самоврядування на території Менської міської територіальної громади на 2022-2024 роки, яку було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затверджено рішенням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15 сесії  Менської міської ради 8 скликання від 09.12.2021 № 798.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567"/>
        <w:jc w:val="both"/>
        <w:spacing w:lineRule="atLeast" w:line="57" w:after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color w:val="000000"/>
          <w:sz w:val="28"/>
          <w:szCs w:val="28"/>
        </w:rPr>
        <w:t xml:space="preserve">З початку 2023 року в Менс</w:t>
      </w:r>
      <w:r>
        <w:rPr>
          <w:color w:val="000000"/>
          <w:sz w:val="28"/>
          <w:szCs w:val="28"/>
        </w:rPr>
        <w:t xml:space="preserve">ькій громаді було проведено ряд заходів, спрямованих на стабілізацію ситуації в енергетичному секторі, недопущенні “блек-ауту”, забезпечення стабільної роботи об’єктів критичної інфраструктури, соціального захисту, медичних, освітніх, культурних закладів.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 метою вивчення громадської думки, працівниками міської ради та залученими експертами, партнерами в громаді проводиться аналіз потреб мешканців, вивченню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потреб вимушено переміщених 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та щодо актуальних потреб в адміністративних та психосоціальних послугах, вивчалася думка </w:t>
      </w:r>
      <w:hyperlink r:id="rId16" w:tooltip="https://forms.gle/TfvdwWX5Beo6aUBSA" w:history="1">
        <w:r>
          <w:rPr>
            <w:rFonts w:ascii="Times New Roman" w:hAnsi="Times New Roman" w:cs="Times New Roman" w:eastAsia="Times New Roman"/>
            <w:color w:val="000000"/>
            <w:sz w:val="28"/>
          </w:rPr>
          <w:t xml:space="preserve">громадян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 та представників бізнес-структур щодо перспективи та пріоритети планів відновлення громад, також серед мешканців громади і працівників міської ради проходило опитування щодо визначення стану комунікації в громаді.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Менська громада стала учасником ряду програм, які працюють в перелічених вище напрямках, наприклад UNICEF, EGAP, DECIDE, MOM, SSS, ПРООН, U-LEAD, USAID, FCA, IFC та інші. Проводилася робота з 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ешканцями та представниками місцевого бізнесу для врахування потреб при розробці Програми відновлення та розвитку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tLeast" w:line="57" w:after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З 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етою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об’єднати зусилля щодо розробки та реалізації спільних проектів та програм соціально-економічно розвитку, налагодження взаємодії між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громадами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 їх сферами діяльності, передача успішних кейсів, знань та умінь у рамках ефективної співпраці;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ошук можливостей та виявлення перешкод у діяльності громад Менською міською радою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ідписано меморандуми про співробітництво з 8 громадами Чернігівської області та 4 громадами з інших областей України. Пріоритетними напрямками співпраці є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збереження навколишнього середовища, в тому числі енергозбереження, екологія;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економіка та інвестиційна діяльність,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житлово-комунальне господарство та управління відходами;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транспорт;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водопостачання та водовідведення;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соціальна інфраструктура, соціальний захист;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підтримка та розвиток підприємництва та місцевого бізнесу;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культура та туризм;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освіта;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спорт;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охорона здоров'я;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активізація місцевих мешканців з інтеграції внутрішньо-переміщених осіб в громадянське суспільство;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безпека;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адміністративні послуги;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цифровізація публічних послуг;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організація та реалізація спільних заходів (семінари, конференції, конкурси, тощо);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залучення партнерських та донорських організацій для реалізації мети Меморандуму;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спільне залучення і реалізація проєктів міжнародної технічної допомоги;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участь у розробці та впровадженні взаємоузгоджених проєктів тощо.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before="0" w:beforeAutospacing="0"/>
        <w:rPr>
          <w:color w:val="000000"/>
          <w:highlight w:val="none"/>
        </w:rPr>
        <w:suppressLineNumbers w:val="0"/>
      </w:pPr>
      <w:r>
        <w:rPr>
          <w:color w:val="000000"/>
          <w:sz w:val="28"/>
          <w:szCs w:val="28"/>
          <w:highlight w:val="none"/>
        </w:rPr>
        <w:t xml:space="preserve">Організовано роботу структурних підрозділів міської ради щодо цифровізації надання публічних послуг. В рамках проєкту “Цифрова громада” закуплено програмні комплекти дл</w:t>
      </w:r>
      <w:r>
        <w:rPr>
          <w:color w:val="000000"/>
          <w:sz w:val="28"/>
          <w:szCs w:val="28"/>
          <w:highlight w:val="none"/>
        </w:rPr>
        <w:t xml:space="preserve">я ЦНАП, земельних та соціальних послуг. Робота структурних підрозділів міської ради, старост та комунальних підприємств забезпечується з використанням єдиної системи електронного документообігу. Та ж сама система використовується для організації проведень </w:t>
      </w:r>
      <w:r>
        <w:rPr>
          <w:color w:val="000000"/>
          <w:sz w:val="28"/>
          <w:szCs w:val="28"/>
          <w:highlight w:val="none"/>
        </w:rPr>
        <w:t xml:space="preserve">засідань сесі</w:t>
      </w:r>
      <w:r>
        <w:rPr>
          <w:color w:val="000000"/>
          <w:sz w:val="28"/>
          <w:szCs w:val="28"/>
          <w:highlight w:val="none"/>
        </w:rPr>
        <w:t xml:space="preserve">й ради та виконавчого комітету. </w:t>
      </w:r>
      <w:r>
        <w:rPr>
          <w:color w:val="000000"/>
          <w:sz w:val="28"/>
          <w:szCs w:val="28"/>
          <w:highlight w:val="none"/>
        </w:rPr>
        <w:t xml:space="preserve">Сесійну залу оснащено мікрофонами, камерами для онлайн-трансляцій, проектором, аудіосистемою, які використовуються для проведення засідань сесій, виконкомів, нарад, конференцій тощо. </w:t>
      </w:r>
      <w:r>
        <w:rPr>
          <w:color w:val="000000"/>
          <w:sz w:val="28"/>
          <w:szCs w:val="28"/>
          <w:highlight w:val="none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За 2023 рік ві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дбулося 18 пленарних засідань 14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-и сесій Менської міської ради 8 скликання, 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на яких прийнято 782 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рішення. Перед кожним пленарним засіданням проводи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лись засідання постійних комісій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 ради.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sz w:val="28"/>
          <w:szCs w:val="18"/>
        </w:rPr>
        <w:t xml:space="preserve">Проведено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35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засідань виконавчого коміте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ту міської ради і прийнято 377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рішення.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Протягом 2023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 року до міської ради надійшло 9017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документів (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розпорядження, доручення, рішення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, накази, поста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нови, інформації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, звернення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 та ін.) та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505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звернен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ь громадян (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39 колективних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 /504 підписи/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 та 118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через органи влади).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7"/>
          <w:highlight w:val="white"/>
        </w:rPr>
        <w:t xml:space="preserve">Аналіз звернень показує, що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white"/>
        </w:rPr>
        <w:t xml:space="preserve">питому вагу складали питання соціального захисту (виплати соціальних допомог, нарахування пільг, надання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white"/>
        </w:rPr>
        <w:t xml:space="preserve">гуманітарної та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white"/>
        </w:rPr>
        <w:t xml:space="preserve">грошової допомоги тощо),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white"/>
        </w:rPr>
        <w:t xml:space="preserve">питання аграрної політики і земельних відносин (</w:t>
      </w:r>
      <w:r>
        <w:rPr>
          <w:rFonts w:ascii="Times New Roman" w:hAnsi="Times New Roman" w:cs="Times New Roman" w:eastAsia="Times New Roman" w:eastAsiaTheme="minorHAnsi"/>
          <w:iCs/>
          <w:color w:val="000000"/>
          <w:sz w:val="28"/>
          <w:szCs w:val="28"/>
          <w:highlight w:val="white"/>
        </w:rPr>
        <w:t xml:space="preserve">питання землекористування та добросусідських відносин, пов’язаних з цим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white"/>
        </w:rPr>
        <w:t xml:space="preserve">), питання діяльності об’єднань громадян.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Протягом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звітного періоду опрацьовано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123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зап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ити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 на інформацію згідно Закону України «Про доступ до публічної інформації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».</w:t>
      </w:r>
      <w:r>
        <w:rPr>
          <w:rFonts w:eastAsiaTheme="minorHAnsi"/>
          <w:highlight w:val="white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Зареєстров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ано та направлено адресатам 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2428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 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вихідних документів</w:t>
      </w:r>
      <w:r>
        <w:rPr>
          <w:rFonts w:ascii="Times New Roman" w:hAnsi="Times New Roman" w:cs="Times New Roman" w:eastAsia="Times New Roman" w:eastAsiaTheme="minorHAnsi"/>
          <w:sz w:val="28"/>
          <w:highlight w:val="white"/>
        </w:rPr>
        <w:t xml:space="preserve">. </w:t>
      </w:r>
      <w:r>
        <w:rPr>
          <w:rFonts w:ascii="Times New Roman" w:hAnsi="Times New Roman" w:cs="Times New Roman" w:eastAsia="Times New Roman" w:eastAsiaTheme="minorHAnsi"/>
          <w:sz w:val="28"/>
          <w:highlight w:val="white"/>
        </w:rPr>
        <w:t xml:space="preserve">Прийнято 479 </w:t>
      </w:r>
      <w:r>
        <w:rPr>
          <w:rFonts w:ascii="Times New Roman" w:hAnsi="Times New Roman" w:cs="Times New Roman" w:eastAsia="Times New Roman" w:eastAsiaTheme="minorHAnsi"/>
          <w:sz w:val="28"/>
          <w:highlight w:val="white"/>
        </w:rPr>
        <w:t xml:space="preserve">розпоряджень міського голови з основної діяльн</w:t>
      </w:r>
      <w:r>
        <w:rPr>
          <w:rFonts w:ascii="Times New Roman" w:hAnsi="Times New Roman" w:cs="Times New Roman" w:eastAsia="Times New Roman" w:eastAsiaTheme="minorHAnsi"/>
          <w:sz w:val="28"/>
          <w:highlight w:val="white"/>
        </w:rPr>
        <w:t xml:space="preserve">ост</w:t>
      </w:r>
      <w:r>
        <w:rPr>
          <w:rFonts w:ascii="Times New Roman" w:hAnsi="Times New Roman" w:cs="Times New Roman" w:eastAsia="Times New Roman" w:eastAsiaTheme="minorHAnsi"/>
          <w:sz w:val="28"/>
          <w:highlight w:val="white"/>
        </w:rPr>
        <w:t xml:space="preserve">і,</w:t>
      </w:r>
      <w:r>
        <w:rPr>
          <w:rFonts w:ascii="Times New Roman" w:hAnsi="Times New Roman" w:cs="Times New Roman" w:eastAsia="Times New Roman" w:eastAsiaTheme="minorHAnsi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highlight w:val="white"/>
        </w:rPr>
        <w:t xml:space="preserve">з особового складу –</w:t>
      </w:r>
      <w:r>
        <w:rPr>
          <w:rFonts w:ascii="Times New Roman" w:hAnsi="Times New Roman" w:cs="Times New Roman" w:eastAsia="Times New Roman" w:eastAsiaTheme="minorHAnsi"/>
          <w:sz w:val="28"/>
          <w:highlight w:val="white"/>
        </w:rPr>
        <w:t xml:space="preserve"> 465</w:t>
      </w:r>
      <w:r>
        <w:rPr>
          <w:rFonts w:ascii="Times New Roman" w:hAnsi="Times New Roman" w:cs="Times New Roman" w:eastAsia="Times New Roman" w:eastAsiaTheme="minorHAnsi"/>
          <w:sz w:val="28"/>
          <w:highlight w:val="white"/>
        </w:rPr>
        <w:t xml:space="preserve">. </w:t>
      </w:r>
      <w:r>
        <w:rPr>
          <w:rFonts w:ascii="Times New Roman" w:hAnsi="Times New Roman" w:cs="Times New Roman" w:eastAsiaTheme="minorHAnsi"/>
          <w:sz w:val="28"/>
          <w:szCs w:val="28"/>
          <w:highlight w:val="white"/>
          <w:lang w:val="uk-UA"/>
        </w:rPr>
        <w:t xml:space="preserve">П</w:t>
      </w:r>
      <w:r>
        <w:rPr>
          <w:rFonts w:ascii="Times New Roman" w:hAnsi="Times New Roman" w:cs="Times New Roman" w:eastAsiaTheme="minorHAnsi"/>
          <w:sz w:val="28"/>
          <w:szCs w:val="28"/>
          <w:highlight w:val="white"/>
          <w:lang w:val="uk-UA"/>
        </w:rPr>
        <w:t xml:space="preserve">р</w:t>
      </w:r>
      <w:r>
        <w:rPr>
          <w:rFonts w:ascii="Times New Roman" w:hAnsi="Times New Roman" w:cs="Times New Roman" w:eastAsiaTheme="minorHAnsi"/>
          <w:sz w:val="28"/>
          <w:szCs w:val="28"/>
          <w:highlight w:val="white"/>
          <w:lang w:val="uk-UA"/>
        </w:rPr>
        <w:t xml:space="preserve">отягом 2023 року </w:t>
      </w:r>
      <w:r>
        <w:rPr>
          <w:rFonts w:ascii="Times New Roman" w:hAnsi="Times New Roman" w:cs="Times New Roman" w:eastAsiaTheme="minorHAnsi"/>
          <w:sz w:val="28"/>
          <w:szCs w:val="28"/>
          <w:highlight w:val="white"/>
          <w:lang w:val="uk-UA"/>
        </w:rPr>
        <w:t xml:space="preserve">було прийнято </w:t>
      </w:r>
      <w:r>
        <w:rPr>
          <w:rFonts w:ascii="Times New Roman" w:hAnsi="Times New Roman" w:cs="Times New Roman" w:eastAsia="Times New Roman" w:eastAsiaTheme="minorHAnsi"/>
          <w:sz w:val="28"/>
          <w:szCs w:val="28"/>
          <w:highlight w:val="white"/>
          <w:lang w:val="uk-UA"/>
        </w:rPr>
        <w:t xml:space="preserve">34 розпорядження міського голови та відповідно представлено до нагородження </w:t>
      </w:r>
      <w:r>
        <w:rPr>
          <w:rFonts w:ascii="Times New Roman" w:hAnsi="Times New Roman" w:cs="Times New Roman" w:eastAsia="Times New Roman" w:eastAsiaTheme="minorHAnsi"/>
          <w:sz w:val="28"/>
          <w:szCs w:val="28"/>
          <w:highlight w:val="white"/>
          <w:lang w:val="uk-UA"/>
        </w:rPr>
        <w:t xml:space="preserve">Почесними грамотами Менської міської ради</w:t>
      </w:r>
      <w:r>
        <w:rPr>
          <w:rFonts w:ascii="Times New Roman" w:hAnsi="Times New Roman" w:cs="Times New Roman" w:eastAsia="Times New Roman" w:eastAsiaTheme="minorHAnsi"/>
          <w:sz w:val="28"/>
          <w:szCs w:val="28"/>
          <w:highlight w:val="white"/>
          <w:lang w:val="uk-UA"/>
        </w:rPr>
        <w:t xml:space="preserve"> 145 громадя</w:t>
      </w:r>
      <w:r>
        <w:rPr>
          <w:rFonts w:ascii="Times New Roman" w:hAnsi="Times New Roman" w:cs="Times New Roman" w:eastAsia="Times New Roman" w:eastAsiaTheme="minorHAnsi"/>
          <w:sz w:val="28"/>
          <w:szCs w:val="28"/>
          <w:highlight w:val="white"/>
          <w:lang w:val="uk-UA"/>
        </w:rPr>
        <w:t xml:space="preserve">н</w:t>
      </w:r>
      <w:r>
        <w:rPr>
          <w:rFonts w:ascii="Times New Roman" w:hAnsi="Times New Roman" w:cs="Times New Roman" w:eastAsiaTheme="minorHAnsi"/>
          <w:sz w:val="28"/>
          <w:szCs w:val="28"/>
          <w:highlight w:val="white"/>
          <w:lang w:val="uk-UA"/>
        </w:rPr>
        <w:t xml:space="preserve">, </w:t>
      </w:r>
      <w:r>
        <w:rPr>
          <w:rFonts w:ascii="Times New Roman" w:hAnsi="Times New Roman" w:cs="Times New Roman" w:eastAsia="Times New Roman" w:eastAsiaTheme="minorHAnsi"/>
          <w:sz w:val="28"/>
          <w:szCs w:val="28"/>
          <w:highlight w:val="white"/>
          <w:lang w:val="uk-UA"/>
        </w:rPr>
        <w:t xml:space="preserve">35 розпоряджень міського голови та відповідно</w:t>
      </w:r>
      <w:r>
        <w:rPr>
          <w:rFonts w:ascii="Times New Roman" w:hAnsi="Times New Roman" w:cs="Times New Roman" w:eastAsia="Times New Roman" w:eastAsiaTheme="minorHAnsi"/>
          <w:sz w:val="28"/>
          <w:szCs w:val="28"/>
          <w:highlight w:val="white"/>
          <w:lang w:val="uk-UA"/>
        </w:rPr>
        <w:t xml:space="preserve"> оголошено Подяки Менської міської ради 489 жителям громади</w:t>
      </w:r>
      <w:r>
        <w:rPr>
          <w:rFonts w:eastAsiaTheme="minorHAnsi"/>
          <w:highlight w:val="white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eastAsiaTheme="minorHAnsi"/>
          <w:highlight w:val="white"/>
        </w:rPr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Всі рішення, протоколи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засідань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, розпорядження міського голови відповідно до Закону України «Про доступ до публічної інформації» оприлюднено на офіційному сайті міської ради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 в мережі Інтернет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 в ус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тановленому порядку.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Протягом звітного періоду відбулося 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17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засідань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 адміністративної коміс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ії, на засіданнях розгляну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то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24 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справи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sz w:val="28"/>
          <w:szCs w:val="18"/>
          <w:highlight w:val="white"/>
        </w:rPr>
        <w:t xml:space="preserve">Працювала комісія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 з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 питань захисту прав дитини (20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 засідань), комісія по на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данню матеріальної допомоги (9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 засідання), 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  <w:shd w:val="clear" w:color="FFFFFF" w:fill="FFFFFF"/>
        </w:rPr>
        <w:t xml:space="preserve">комісії з питань техногенно-екологічної безп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  <w:shd w:val="clear" w:color="FFFFFF" w:fill="FFFFFF"/>
        </w:rPr>
        <w:t xml:space="preserve">еки і надзвичайних ситуацій</w:t>
      </w:r>
      <w:r>
        <w:rPr>
          <w:rFonts w:ascii="Times New Roman" w:hAnsi="Times New Roman" w:cs="Times New Roman" w:eastAsia="Times New Roman" w:eastAsiaTheme="minorHAnsi"/>
          <w:color w:val="FF0000"/>
          <w:sz w:val="28"/>
          <w:szCs w:val="18"/>
          <w:highlight w:val="white"/>
          <w:shd w:val="clear" w:color="FFFFFF" w:fill="FFFFFF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(8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 засідання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), координ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аційна рада у справах дітей (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4 засідання), опікунська рада (10 засідань), комісія з питань компле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ксного визначення ступеня індивідуальних потреб особи, яка потребує надання соціальних послуг (38 засідань) та ін.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Старостами видано 6670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 довідок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 різного характеру, вчинено 1596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нотаріальних дій, здійснено 1766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реєстраційних дій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before="0" w:beforeAutospacing="0"/>
        <w:rPr>
          <w:color w:val="000000"/>
          <w:highlight w:val="none"/>
        </w:rPr>
        <w:suppressLineNumbers w:val="0"/>
      </w:pPr>
      <w:r>
        <w:rPr>
          <w:rFonts w:eastAsiaTheme="minorHAnsi"/>
          <w:color w:val="000000"/>
          <w:sz w:val="28"/>
          <w:szCs w:val="28"/>
          <w:highlight w:val="none"/>
        </w:rPr>
        <w:t xml:space="preserve">Менська міська рада є активним членом Асоціації міст України, Асоціації громад, Всеукраїнської асоціації сільських селищних рад та об’єднаних громад, Асоціації “Енергоефективні міста України”.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before="0" w:beforeAutospacing="0"/>
        <w:rPr>
          <w:color w:val="000000"/>
          <w:highlight w:val="none"/>
        </w:rPr>
        <w:suppressLineNumbers w:val="0"/>
      </w:pPr>
      <w:r>
        <w:rPr>
          <w:rFonts w:eastAsiaTheme="minorHAnsi"/>
          <w:color w:val="000000"/>
          <w:sz w:val="28"/>
          <w:szCs w:val="28"/>
          <w:highlight w:val="none"/>
        </w:rPr>
        <w:t xml:space="preserve">З метою вивчення практичного застосування перейнятого досвіду, міська рада організовує підписання меморандумів, угод про співробіт</w:t>
      </w:r>
      <w:r>
        <w:rPr>
          <w:rFonts w:eastAsiaTheme="minorHAnsi"/>
          <w:color w:val="000000"/>
          <w:sz w:val="28"/>
          <w:szCs w:val="28"/>
          <w:highlight w:val="none"/>
        </w:rPr>
        <w:t xml:space="preserve">ництво громадськими організаціями, фондами, громадами, міжнародними партнерами.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before="0" w:beforeAutospacing="0"/>
        <w:rPr>
          <w:color w:val="000000"/>
          <w:sz w:val="28"/>
          <w:szCs w:val="28"/>
        </w:rPr>
        <w:suppressLineNumbers w:val="0"/>
      </w:pPr>
      <w:r>
        <w:rPr>
          <w:rFonts w:eastAsiaTheme="minorHAnsi"/>
          <w:color w:val="000000"/>
          <w:sz w:val="28"/>
          <w:szCs w:val="28"/>
        </w:rPr>
        <w:t xml:space="preserve">Продовжуються роботи, спрямовані на покращення надання якісних адміністративних послуг, в тому числі в сільській місцевості. В адміністративному центрі громади проводяться роботи з реконструкції приміщення для розміщення там належног</w:t>
      </w:r>
      <w:r>
        <w:rPr>
          <w:rFonts w:eastAsiaTheme="minorHAnsi"/>
          <w:color w:val="000000"/>
          <w:sz w:val="28"/>
          <w:szCs w:val="28"/>
        </w:rPr>
        <w:t xml:space="preserve">о Центру надання адміністрати</w:t>
      </w:r>
      <w:r>
        <w:rPr>
          <w:rFonts w:eastAsiaTheme="minorHAnsi"/>
          <w:color w:val="000000"/>
          <w:sz w:val="28"/>
          <w:szCs w:val="28"/>
        </w:rPr>
        <w:t xml:space="preserve">вних послуг, в сільських населених пунктах збільшено кількість віддалених робочих</w:t>
      </w:r>
      <w:r>
        <w:rPr>
          <w:rFonts w:eastAsiaTheme="minorHAnsi"/>
          <w:color w:val="000000"/>
          <w:sz w:val="28"/>
          <w:szCs w:val="28"/>
        </w:rPr>
        <w:t xml:space="preserve"> місць, шляхом зміни структури і введенням додаткових посад адміністраторів та спеціалістів ЦНАПу, отримано “мобільну валізку”, проведено роботи з покращен</w:t>
      </w:r>
      <w:r>
        <w:rPr>
          <w:rFonts w:eastAsiaTheme="minorHAnsi"/>
          <w:color w:val="000000"/>
          <w:sz w:val="28"/>
          <w:szCs w:val="28"/>
        </w:rPr>
        <w:t xml:space="preserve">ня інтернет-зв’язку, розпочав роботу колцентр Центру надання адміністративних послуг та чат-бот СВОЇ.</w:t>
      </w:r>
      <w:r>
        <w:rPr>
          <w:rFonts w:eastAsiaTheme="minorHAnsi"/>
          <w:color w:val="000000"/>
          <w:sz w:val="28"/>
        </w:rPr>
      </w:r>
      <w:r>
        <w:rPr>
          <w:rFonts w:eastAsiaTheme="minorHAnsi"/>
          <w:color w:val="000000"/>
          <w:sz w:val="28"/>
        </w:rPr>
      </w:r>
    </w:p>
    <w:p>
      <w:pPr>
        <w:ind w:firstLine="567"/>
        <w:jc w:val="both"/>
        <w:spacing w:before="0" w:beforeAutospacing="0"/>
        <w:rPr>
          <w:color w:val="000000"/>
          <w:sz w:val="28"/>
          <w:szCs w:val="28"/>
        </w:rPr>
        <w:suppressLineNumbers w:val="0"/>
      </w:pPr>
      <w:r>
        <w:rPr>
          <w:rFonts w:eastAsiaTheme="minorHAnsi"/>
          <w:color w:val="000000"/>
          <w:sz w:val="28"/>
          <w:szCs w:val="28"/>
        </w:rPr>
        <w:t xml:space="preserve">Всього на реалізацію заходів даної Програми, за 2023 рік використано</w:t>
      </w:r>
      <w:r>
        <w:rPr>
          <w:rFonts w:eastAsiaTheme="minorHAnsi"/>
          <w:color w:val="000000"/>
          <w:sz w:val="28"/>
          <w:szCs w:val="28"/>
        </w:rPr>
        <w:t xml:space="preserve"> 126800,00</w:t>
      </w:r>
      <w:r>
        <w:rPr>
          <w:rFonts w:eastAsiaTheme="minorHAnsi"/>
          <w:b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</w:rPr>
        <w:t xml:space="preserve">грн.</w:t>
      </w:r>
      <w:r>
        <w:rPr>
          <w:rFonts w:eastAsiaTheme="minorHAnsi"/>
          <w:color w:val="000000"/>
          <w:sz w:val="28"/>
        </w:rPr>
      </w:r>
      <w:r>
        <w:rPr>
          <w:rFonts w:eastAsiaTheme="minorHAnsi"/>
          <w:color w:val="000000"/>
          <w:sz w:val="28"/>
        </w:rPr>
      </w:r>
    </w:p>
    <w:p>
      <w:pPr>
        <w:ind w:firstLine="0"/>
        <w:jc w:val="both"/>
        <w:spacing w:before="113" w:beforeAutospacing="0"/>
        <w:tabs>
          <w:tab w:val="left" w:pos="637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Theme="minorHAnsi"/>
          <w:bCs/>
          <w:sz w:val="28"/>
          <w:szCs w:val="28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before="113" w:beforeAutospacing="0"/>
        <w:tabs>
          <w:tab w:val="left" w:pos="6378" w:leader="none"/>
        </w:tabs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Theme="minorHAnsi"/>
          <w:bCs/>
          <w:sz w:val="28"/>
          <w:szCs w:val="28"/>
        </w:rPr>
        <w:t xml:space="preserve">Секретар ради</w:t>
        <w:tab/>
        <w:t xml:space="preserve">Юрій СТАЛЬНИЧЕНКО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before="113" w:beforeAutospacing="0"/>
        <w:tabs>
          <w:tab w:val="left" w:pos="6378" w:leader="none"/>
        </w:tabs>
        <w:rPr>
          <w:bCs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Theme="minorHAnsi"/>
          <w:bCs/>
          <w:sz w:val="28"/>
          <w:szCs w:val="28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continuous"/>
      <w:pgSz w:w="11906" w:h="16838" w:orient="portrait"/>
      <w:pgMar w:top="851" w:right="567" w:bottom="822" w:left="1701" w:header="563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  <w:jc w:val="left"/>
      <w:tabs>
        <w:tab w:val="left" w:pos="780" w:leader="none"/>
        <w:tab w:val="clear" w:pos="4677" w:leader="none"/>
        <w:tab w:val="clear" w:pos="9355" w:leader="none"/>
      </w:tabs>
      <w:rPr>
        <w:rStyle w:val="924"/>
      </w:rPr>
      <w:framePr w:h="245" w:wrap="around" w:vAnchor="page" w:hAnchor="margin" w:xAlign="right" w:y="16115" w:hRule="atLeast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  <w:rPr>
        <w:rStyle w:val="924"/>
      </w:rPr>
      <w:framePr w:wrap="around" w:vAnchor="text" w:hAnchor="margin" w:xAlign="right" w:y="1"/>
    </w:pPr>
    <w:r>
      <w:rPr>
        <w:rStyle w:val="924"/>
      </w:rPr>
      <w:fldChar w:fldCharType="begin"/>
    </w:r>
    <w:r>
      <w:rPr>
        <w:rStyle w:val="924"/>
      </w:rPr>
      <w:instrText xml:space="preserve">PAGE  </w:instrText>
    </w:r>
    <w:r>
      <w:rPr>
        <w:rStyle w:val="924"/>
      </w:rPr>
      <w:fldChar w:fldCharType="end"/>
    </w:r>
    <w:r/>
  </w:p>
  <w:p>
    <w:pPr>
      <w:pStyle w:val="76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jc w:val="center"/>
      <w:rPr>
        <w:i/>
        <w:sz w:val="24"/>
      </w:rPr>
    </w:pPr>
    <w:r>
      <w:t xml:space="preserve">                                                                                         </w:t>
    </w:r>
    <w:r>
      <w:rPr>
        <w:sz w:val="24"/>
      </w:rPr>
      <w:t xml:space="preserve">      </w:t>
    </w:r>
    <w:r>
      <w:rPr>
        <w:sz w:val="24"/>
      </w:rPr>
      <w:fldChar w:fldCharType="begin"/>
    </w:r>
    <w:r>
      <w:rPr>
        <w:sz w:val="24"/>
      </w:rPr>
      <w:instrText xml:space="preserve">PAGE \* MERGEFORMAT</w:instrText>
    </w:r>
    <w:r>
      <w:rPr>
        <w:sz w:val="24"/>
      </w:rPr>
      <w:fldChar w:fldCharType="separate"/>
    </w:r>
    <w:r>
      <w:rPr>
        <w:sz w:val="24"/>
      </w:rPr>
      <w:t xml:space="preserve">1</w:t>
    </w:r>
    <w:r>
      <w:rPr>
        <w:sz w:val="24"/>
      </w:rPr>
      <w:fldChar w:fldCharType="end"/>
    </w:r>
    <w:r>
      <w:rPr>
        <w:sz w:val="24"/>
      </w:rPr>
      <w:t xml:space="preserve">                                       </w:t>
    </w:r>
    <w:r>
      <w:rPr>
        <w:i/>
        <w:sz w:val="24"/>
      </w:rPr>
      <w:t xml:space="preserve">продовження додатка</w:t>
    </w:r>
    <w:r/>
  </w:p>
  <w:p>
    <w:pPr>
      <w:pStyle w:val="76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1335" w:hanging="795"/>
        <w:tabs>
          <w:tab w:val="num" w:pos="1335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6"/>
  </w:num>
  <w:num w:numId="2">
    <w:abstractNumId w:val="2"/>
  </w:num>
  <w:num w:numId="3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 w:default="1">
    <w:name w:val="Normal"/>
    <w:qFormat/>
    <w:rPr>
      <w:lang w:eastAsia="zh-CN"/>
    </w:rPr>
  </w:style>
  <w:style w:type="paragraph" w:styleId="719">
    <w:name w:val="Heading 1"/>
    <w:basedOn w:val="718"/>
    <w:next w:val="718"/>
    <w:link w:val="748"/>
    <w:rPr>
      <w:sz w:val="36"/>
    </w:rPr>
    <w:pPr>
      <w:ind w:left="567"/>
      <w:keepNext/>
      <w:outlineLvl w:val="0"/>
    </w:pPr>
  </w:style>
  <w:style w:type="paragraph" w:styleId="720">
    <w:name w:val="Heading 2"/>
    <w:basedOn w:val="718"/>
    <w:next w:val="718"/>
    <w:link w:val="749"/>
    <w:rPr>
      <w:sz w:val="28"/>
    </w:rPr>
    <w:pPr>
      <w:ind w:left="567" w:firstLine="567"/>
      <w:jc w:val="both"/>
      <w:keepNext/>
      <w:spacing w:lineRule="exact" w:line="240"/>
      <w:outlineLvl w:val="1"/>
    </w:pPr>
  </w:style>
  <w:style w:type="paragraph" w:styleId="721">
    <w:name w:val="Heading 3"/>
    <w:link w:val="750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722">
    <w:name w:val="Heading 4"/>
    <w:link w:val="751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723">
    <w:name w:val="Heading 5"/>
    <w:link w:val="752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724">
    <w:name w:val="Heading 6"/>
    <w:link w:val="753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725">
    <w:name w:val="Heading 7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726">
    <w:name w:val="Heading 8"/>
    <w:link w:val="755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727">
    <w:name w:val="Heading 9"/>
    <w:link w:val="756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728" w:default="1">
    <w:name w:val="Default Paragraph Font"/>
    <w:uiPriority w:val="1"/>
    <w:semiHidden/>
    <w:unhideWhenUsed/>
  </w:style>
  <w:style w:type="table" w:styleId="7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0" w:default="1">
    <w:name w:val="No List"/>
    <w:uiPriority w:val="99"/>
    <w:semiHidden/>
    <w:unhideWhenUsed/>
  </w:style>
  <w:style w:type="character" w:styleId="731" w:customStyle="1">
    <w:name w:val="Heading 1 Char"/>
    <w:basedOn w:val="728"/>
    <w:uiPriority w:val="9"/>
    <w:rPr>
      <w:rFonts w:ascii="Arial" w:hAnsi="Arial" w:cs="Arial" w:eastAsia="Arial"/>
      <w:sz w:val="40"/>
      <w:szCs w:val="40"/>
    </w:rPr>
  </w:style>
  <w:style w:type="character" w:styleId="732" w:customStyle="1">
    <w:name w:val="Heading 2 Char"/>
    <w:basedOn w:val="728"/>
    <w:uiPriority w:val="9"/>
    <w:rPr>
      <w:rFonts w:ascii="Arial" w:hAnsi="Arial" w:cs="Arial" w:eastAsia="Arial"/>
      <w:sz w:val="34"/>
    </w:rPr>
  </w:style>
  <w:style w:type="character" w:styleId="733" w:customStyle="1">
    <w:name w:val="Heading 3 Char"/>
    <w:basedOn w:val="728"/>
    <w:uiPriority w:val="9"/>
    <w:rPr>
      <w:rFonts w:ascii="Arial" w:hAnsi="Arial" w:cs="Arial" w:eastAsia="Arial"/>
      <w:sz w:val="30"/>
      <w:szCs w:val="30"/>
    </w:rPr>
  </w:style>
  <w:style w:type="character" w:styleId="734" w:customStyle="1">
    <w:name w:val="Heading 4 Char"/>
    <w:basedOn w:val="728"/>
    <w:uiPriority w:val="9"/>
    <w:rPr>
      <w:rFonts w:ascii="Arial" w:hAnsi="Arial" w:cs="Arial" w:eastAsia="Arial"/>
      <w:b/>
      <w:bCs/>
      <w:sz w:val="26"/>
      <w:szCs w:val="26"/>
    </w:rPr>
  </w:style>
  <w:style w:type="character" w:styleId="735" w:customStyle="1">
    <w:name w:val="Heading 5 Char"/>
    <w:basedOn w:val="728"/>
    <w:uiPriority w:val="9"/>
    <w:rPr>
      <w:rFonts w:ascii="Arial" w:hAnsi="Arial" w:cs="Arial" w:eastAsia="Arial"/>
      <w:b/>
      <w:bCs/>
      <w:sz w:val="24"/>
      <w:szCs w:val="24"/>
    </w:rPr>
  </w:style>
  <w:style w:type="character" w:styleId="736" w:customStyle="1">
    <w:name w:val="Heading 6 Char"/>
    <w:basedOn w:val="728"/>
    <w:uiPriority w:val="9"/>
    <w:rPr>
      <w:rFonts w:ascii="Arial" w:hAnsi="Arial" w:cs="Arial" w:eastAsia="Arial"/>
      <w:b/>
      <w:bCs/>
      <w:sz w:val="22"/>
      <w:szCs w:val="22"/>
    </w:rPr>
  </w:style>
  <w:style w:type="character" w:styleId="737" w:customStyle="1">
    <w:name w:val="Heading 7 Char"/>
    <w:basedOn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8" w:customStyle="1">
    <w:name w:val="Heading 8 Char"/>
    <w:basedOn w:val="728"/>
    <w:uiPriority w:val="9"/>
    <w:rPr>
      <w:rFonts w:ascii="Arial" w:hAnsi="Arial" w:cs="Arial" w:eastAsia="Arial"/>
      <w:i/>
      <w:iCs/>
      <w:sz w:val="22"/>
      <w:szCs w:val="22"/>
    </w:rPr>
  </w:style>
  <w:style w:type="character" w:styleId="739" w:customStyle="1">
    <w:name w:val="Heading 9 Char"/>
    <w:basedOn w:val="728"/>
    <w:uiPriority w:val="9"/>
    <w:rPr>
      <w:rFonts w:ascii="Arial" w:hAnsi="Arial" w:cs="Arial" w:eastAsia="Arial"/>
      <w:i/>
      <w:iCs/>
      <w:sz w:val="21"/>
      <w:szCs w:val="21"/>
    </w:rPr>
  </w:style>
  <w:style w:type="character" w:styleId="740" w:customStyle="1">
    <w:name w:val="Title Char"/>
    <w:basedOn w:val="728"/>
    <w:uiPriority w:val="10"/>
    <w:rPr>
      <w:sz w:val="48"/>
      <w:szCs w:val="48"/>
    </w:rPr>
  </w:style>
  <w:style w:type="character" w:styleId="741" w:customStyle="1">
    <w:name w:val="Subtitle Char"/>
    <w:basedOn w:val="728"/>
    <w:uiPriority w:val="11"/>
    <w:rPr>
      <w:sz w:val="24"/>
      <w:szCs w:val="24"/>
    </w:rPr>
  </w:style>
  <w:style w:type="character" w:styleId="742" w:customStyle="1">
    <w:name w:val="Quote Char"/>
    <w:uiPriority w:val="29"/>
    <w:rPr>
      <w:i/>
    </w:rPr>
  </w:style>
  <w:style w:type="character" w:styleId="743" w:customStyle="1">
    <w:name w:val="Intense Quote Char"/>
    <w:uiPriority w:val="30"/>
    <w:rPr>
      <w:i/>
    </w:rPr>
  </w:style>
  <w:style w:type="character" w:styleId="744" w:customStyle="1">
    <w:name w:val="Header Char"/>
    <w:basedOn w:val="728"/>
    <w:uiPriority w:val="99"/>
  </w:style>
  <w:style w:type="character" w:styleId="745" w:customStyle="1">
    <w:name w:val="Caption Char"/>
    <w:uiPriority w:val="99"/>
  </w:style>
  <w:style w:type="character" w:styleId="746" w:customStyle="1">
    <w:name w:val="Footnote Text Char"/>
    <w:uiPriority w:val="99"/>
    <w:rPr>
      <w:sz w:val="18"/>
    </w:rPr>
  </w:style>
  <w:style w:type="character" w:styleId="747" w:customStyle="1">
    <w:name w:val="Endnote Text Char"/>
    <w:uiPriority w:val="99"/>
    <w:rPr>
      <w:sz w:val="20"/>
    </w:rPr>
  </w:style>
  <w:style w:type="character" w:styleId="748" w:customStyle="1">
    <w:name w:val="Заголовок 1 Знак"/>
    <w:link w:val="719"/>
    <w:uiPriority w:val="9"/>
    <w:rPr>
      <w:rFonts w:ascii="Arial" w:hAnsi="Arial" w:cs="Arial" w:eastAsia="Arial"/>
      <w:sz w:val="40"/>
      <w:szCs w:val="40"/>
    </w:rPr>
  </w:style>
  <w:style w:type="character" w:styleId="749" w:customStyle="1">
    <w:name w:val="Заголовок 2 Знак"/>
    <w:link w:val="720"/>
    <w:uiPriority w:val="9"/>
    <w:rPr>
      <w:rFonts w:ascii="Arial" w:hAnsi="Arial" w:cs="Arial" w:eastAsia="Arial"/>
      <w:sz w:val="34"/>
    </w:rPr>
  </w:style>
  <w:style w:type="character" w:styleId="750" w:customStyle="1">
    <w:name w:val="Заголовок 3 Знак"/>
    <w:link w:val="721"/>
    <w:uiPriority w:val="9"/>
    <w:rPr>
      <w:rFonts w:ascii="Arial" w:hAnsi="Arial" w:cs="Arial" w:eastAsia="Arial"/>
      <w:sz w:val="30"/>
      <w:szCs w:val="30"/>
    </w:rPr>
  </w:style>
  <w:style w:type="character" w:styleId="751" w:customStyle="1">
    <w:name w:val="Заголовок 4 Знак"/>
    <w:link w:val="722"/>
    <w:uiPriority w:val="9"/>
    <w:rPr>
      <w:rFonts w:ascii="Arial" w:hAnsi="Arial" w:cs="Arial" w:eastAsia="Arial"/>
      <w:b/>
      <w:bCs/>
      <w:sz w:val="26"/>
      <w:szCs w:val="26"/>
    </w:rPr>
  </w:style>
  <w:style w:type="character" w:styleId="752" w:customStyle="1">
    <w:name w:val="Заголовок 5 Знак"/>
    <w:link w:val="723"/>
    <w:uiPriority w:val="9"/>
    <w:rPr>
      <w:rFonts w:ascii="Arial" w:hAnsi="Arial" w:cs="Arial" w:eastAsia="Arial"/>
      <w:b/>
      <w:bCs/>
      <w:sz w:val="24"/>
      <w:szCs w:val="24"/>
    </w:rPr>
  </w:style>
  <w:style w:type="character" w:styleId="753" w:customStyle="1">
    <w:name w:val="Заголовок 6 Знак"/>
    <w:link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54" w:customStyle="1">
    <w:name w:val="Заголовок 7 Знак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5" w:customStyle="1">
    <w:name w:val="Заголовок 8 Знак"/>
    <w:link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56" w:customStyle="1">
    <w:name w:val="Заголовок 9 Знак"/>
    <w:link w:val="727"/>
    <w:uiPriority w:val="9"/>
    <w:rPr>
      <w:rFonts w:ascii="Arial" w:hAnsi="Arial" w:cs="Arial" w:eastAsia="Arial"/>
      <w:i/>
      <w:iCs/>
      <w:sz w:val="21"/>
      <w:szCs w:val="21"/>
    </w:rPr>
  </w:style>
  <w:style w:type="paragraph" w:styleId="757">
    <w:name w:val="No Spacing"/>
    <w:rPr>
      <w:sz w:val="24"/>
      <w:szCs w:val="24"/>
      <w:lang w:val="ru-RU" w:eastAsia="ru-RU"/>
    </w:rPr>
  </w:style>
  <w:style w:type="paragraph" w:styleId="758">
    <w:name w:val="Title"/>
    <w:link w:val="759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59" w:customStyle="1">
    <w:name w:val="Заголовок Знак"/>
    <w:link w:val="758"/>
    <w:uiPriority w:val="10"/>
    <w:rPr>
      <w:sz w:val="48"/>
      <w:szCs w:val="48"/>
    </w:rPr>
  </w:style>
  <w:style w:type="paragraph" w:styleId="760">
    <w:name w:val="Subtitle"/>
    <w:link w:val="761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61" w:customStyle="1">
    <w:name w:val="Подзаголовок Знак"/>
    <w:link w:val="760"/>
    <w:uiPriority w:val="11"/>
    <w:rPr>
      <w:sz w:val="24"/>
      <w:szCs w:val="24"/>
    </w:rPr>
  </w:style>
  <w:style w:type="paragraph" w:styleId="762">
    <w:name w:val="Quote"/>
    <w:link w:val="763"/>
    <w:qFormat/>
    <w:uiPriority w:val="29"/>
    <w:rPr>
      <w:i/>
      <w:lang w:eastAsia="zh-CN"/>
    </w:rPr>
    <w:pPr>
      <w:ind w:left="720" w:right="720"/>
    </w:pPr>
  </w:style>
  <w:style w:type="character" w:styleId="763" w:customStyle="1">
    <w:name w:val="Цитата 2 Знак"/>
    <w:link w:val="762"/>
    <w:uiPriority w:val="29"/>
    <w:rPr>
      <w:i/>
    </w:rPr>
  </w:style>
  <w:style w:type="paragraph" w:styleId="764">
    <w:name w:val="Intense Quote"/>
    <w:link w:val="765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5" w:customStyle="1">
    <w:name w:val="Выделенная цитата Знак"/>
    <w:link w:val="764"/>
    <w:uiPriority w:val="30"/>
    <w:rPr>
      <w:i/>
    </w:rPr>
  </w:style>
  <w:style w:type="paragraph" w:styleId="766">
    <w:name w:val="Header"/>
    <w:basedOn w:val="718"/>
    <w:link w:val="767"/>
    <w:pPr>
      <w:tabs>
        <w:tab w:val="center" w:pos="4677" w:leader="none"/>
        <w:tab w:val="right" w:pos="9355" w:leader="none"/>
      </w:tabs>
    </w:pPr>
  </w:style>
  <w:style w:type="character" w:styleId="767" w:customStyle="1">
    <w:name w:val="Верхний колонтитул Знак"/>
    <w:link w:val="766"/>
    <w:uiPriority w:val="99"/>
  </w:style>
  <w:style w:type="paragraph" w:styleId="768">
    <w:name w:val="Footer"/>
    <w:basedOn w:val="718"/>
    <w:link w:val="771"/>
    <w:pPr>
      <w:tabs>
        <w:tab w:val="center" w:pos="4677" w:leader="none"/>
        <w:tab w:val="right" w:pos="9355" w:leader="none"/>
      </w:tabs>
    </w:pPr>
  </w:style>
  <w:style w:type="character" w:styleId="769" w:customStyle="1">
    <w:name w:val="Footer Char"/>
    <w:uiPriority w:val="99"/>
  </w:style>
  <w:style w:type="paragraph" w:styleId="770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71" w:customStyle="1">
    <w:name w:val="Нижний колонтитул Знак"/>
    <w:link w:val="768"/>
    <w:uiPriority w:val="99"/>
  </w:style>
  <w:style w:type="table" w:styleId="772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8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5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3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8">
    <w:name w:val="Hyperlink"/>
    <w:uiPriority w:val="99"/>
    <w:unhideWhenUsed/>
    <w:rPr>
      <w:color w:val="0000FF"/>
      <w:u w:val="single"/>
    </w:rPr>
  </w:style>
  <w:style w:type="paragraph" w:styleId="899">
    <w:name w:val="footnote text"/>
    <w:link w:val="900"/>
    <w:uiPriority w:val="99"/>
    <w:semiHidden/>
    <w:unhideWhenUsed/>
    <w:rPr>
      <w:sz w:val="18"/>
      <w:lang w:eastAsia="zh-CN"/>
    </w:rPr>
    <w:pPr>
      <w:spacing w:after="40"/>
    </w:pPr>
  </w:style>
  <w:style w:type="character" w:styleId="900" w:customStyle="1">
    <w:name w:val="Текст сноски Знак"/>
    <w:link w:val="899"/>
    <w:uiPriority w:val="99"/>
    <w:rPr>
      <w:sz w:val="18"/>
    </w:rPr>
  </w:style>
  <w:style w:type="character" w:styleId="901">
    <w:name w:val="footnote reference"/>
    <w:uiPriority w:val="99"/>
    <w:unhideWhenUsed/>
    <w:rPr>
      <w:vertAlign w:val="superscript"/>
    </w:rPr>
  </w:style>
  <w:style w:type="paragraph" w:styleId="902">
    <w:name w:val="endnote text"/>
    <w:link w:val="903"/>
    <w:uiPriority w:val="99"/>
    <w:semiHidden/>
    <w:unhideWhenUsed/>
    <w:rPr>
      <w:lang w:eastAsia="zh-CN"/>
    </w:rPr>
  </w:style>
  <w:style w:type="character" w:styleId="903" w:customStyle="1">
    <w:name w:val="Текст концевой сноски Знак"/>
    <w:link w:val="902"/>
    <w:uiPriority w:val="99"/>
    <w:rPr>
      <w:sz w:val="20"/>
    </w:rPr>
  </w:style>
  <w:style w:type="character" w:styleId="904">
    <w:name w:val="endnote reference"/>
    <w:uiPriority w:val="99"/>
    <w:semiHidden/>
    <w:unhideWhenUsed/>
    <w:rPr>
      <w:vertAlign w:val="superscript"/>
    </w:rPr>
  </w:style>
  <w:style w:type="paragraph" w:styleId="905">
    <w:name w:val="toc 1"/>
    <w:uiPriority w:val="39"/>
    <w:unhideWhenUsed/>
    <w:rPr>
      <w:lang w:eastAsia="zh-CN"/>
    </w:rPr>
    <w:pPr>
      <w:spacing w:after="57"/>
    </w:pPr>
  </w:style>
  <w:style w:type="paragraph" w:styleId="906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907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908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909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910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911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912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913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914">
    <w:name w:val="TOC Heading"/>
    <w:uiPriority w:val="39"/>
    <w:unhideWhenUsed/>
    <w:rPr>
      <w:lang w:eastAsia="zh-CN"/>
    </w:rPr>
  </w:style>
  <w:style w:type="paragraph" w:styleId="915">
    <w:name w:val="table of figures"/>
    <w:uiPriority w:val="99"/>
    <w:unhideWhenUsed/>
    <w:rPr>
      <w:lang w:eastAsia="zh-CN"/>
    </w:rPr>
  </w:style>
  <w:style w:type="paragraph" w:styleId="916" w:customStyle="1">
    <w:name w:val="Знак Знак Знак Знак"/>
    <w:basedOn w:val="718"/>
    <w:rPr>
      <w:rFonts w:ascii="Verdana" w:hAnsi="Verdana"/>
      <w:lang w:val="en-US" w:eastAsia="en-US"/>
    </w:rPr>
  </w:style>
  <w:style w:type="paragraph" w:styleId="917">
    <w:name w:val="Balloon Text"/>
    <w:basedOn w:val="718"/>
    <w:semiHidden/>
    <w:rPr>
      <w:rFonts w:ascii="Tahoma" w:hAnsi="Tahoma"/>
      <w:sz w:val="16"/>
      <w:szCs w:val="16"/>
    </w:rPr>
  </w:style>
  <w:style w:type="paragraph" w:styleId="918">
    <w:name w:val="Body Text"/>
    <w:basedOn w:val="718"/>
    <w:pPr>
      <w:spacing w:after="120"/>
    </w:pPr>
  </w:style>
  <w:style w:type="paragraph" w:styleId="919">
    <w:name w:val="Normal (Web)"/>
    <w:basedOn w:val="718"/>
    <w:pPr>
      <w:spacing w:after="100" w:afterAutospacing="1" w:before="100" w:beforeAutospacing="1"/>
    </w:pPr>
  </w:style>
  <w:style w:type="paragraph" w:styleId="920">
    <w:name w:val="Body Text Indent 2"/>
    <w:basedOn w:val="718"/>
    <w:pPr>
      <w:ind w:left="283"/>
      <w:spacing w:lineRule="auto" w:line="480" w:after="120"/>
    </w:pPr>
  </w:style>
  <w:style w:type="paragraph" w:styleId="921">
    <w:name w:val="List Paragraph"/>
    <w:basedOn w:val="718"/>
    <w:rPr>
      <w:rFonts w:eastAsia="Calibri"/>
      <w:lang w:eastAsia="uk-UA"/>
    </w:rPr>
    <w:pPr>
      <w:contextualSpacing w:val="true"/>
      <w:ind w:left="720"/>
    </w:pPr>
  </w:style>
  <w:style w:type="paragraph" w:styleId="922">
    <w:name w:val="Body Text Indent"/>
    <w:basedOn w:val="718"/>
    <w:link w:val="923"/>
    <w:rPr>
      <w:rFonts w:ascii="Calibri" w:hAnsi="Calibri" w:eastAsia="Calibri"/>
      <w:sz w:val="22"/>
      <w:szCs w:val="22"/>
      <w:lang w:eastAsia="en-US"/>
    </w:rPr>
    <w:pPr>
      <w:ind w:left="283"/>
      <w:spacing w:lineRule="auto" w:line="276" w:after="120"/>
    </w:pPr>
  </w:style>
  <w:style w:type="character" w:styleId="923" w:customStyle="1">
    <w:name w:val="Основной текст с отступом Знак"/>
    <w:link w:val="922"/>
    <w:rPr>
      <w:rFonts w:ascii="Calibri" w:hAnsi="Calibri" w:eastAsia="Calibri"/>
      <w:sz w:val="22"/>
      <w:szCs w:val="22"/>
      <w:lang w:val="uk-UA" w:bidi="ar-SA" w:eastAsia="en-US"/>
    </w:rPr>
  </w:style>
  <w:style w:type="character" w:styleId="924">
    <w:name w:val="page number"/>
    <w:basedOn w:val="728"/>
  </w:style>
  <w:style w:type="paragraph" w:styleId="925">
    <w:name w:val="Body Text Indent 3"/>
    <w:basedOn w:val="718"/>
    <w:link w:val="928"/>
    <w:rPr>
      <w:sz w:val="16"/>
      <w:szCs w:val="16"/>
    </w:rPr>
    <w:pPr>
      <w:ind w:left="283"/>
      <w:spacing w:after="120"/>
    </w:pPr>
  </w:style>
  <w:style w:type="character" w:styleId="926" w:customStyle="1">
    <w:name w:val="green ng-binding"/>
    <w:basedOn w:val="728"/>
  </w:style>
  <w:style w:type="character" w:styleId="927">
    <w:name w:val="Strong"/>
    <w:rPr>
      <w:b/>
      <w:bCs/>
    </w:rPr>
  </w:style>
  <w:style w:type="character" w:styleId="928" w:customStyle="1">
    <w:name w:val="Основной текст с отступом 3 Знак"/>
    <w:link w:val="925"/>
    <w:rPr>
      <w:sz w:val="16"/>
      <w:szCs w:val="16"/>
    </w:rPr>
  </w:style>
  <w:style w:type="paragraph" w:styleId="929" w:customStyle="1">
    <w:name w:val="Style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1483"/>
      <w:jc w:val="left"/>
      <w:keepLines w:val="false"/>
      <w:keepNext w:val="false"/>
      <w:pageBreakBefore w:val="false"/>
      <w:spacing w:lineRule="exact" w:line="247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hyperlink" Target="https://forms.gle/TfvdwWX5Beo6aUBS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5017C35-AC4F-4368-AFDE-3681968D34B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61</cp:revision>
  <dcterms:created xsi:type="dcterms:W3CDTF">2022-10-06T09:25:00Z</dcterms:created>
  <dcterms:modified xsi:type="dcterms:W3CDTF">2024-01-24T17:57:30Z</dcterms:modified>
</cp:coreProperties>
</file>