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  <w:lang w:val="uk-UA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20 грудня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362</w:t>
      </w:r>
      <w:r/>
    </w:p>
    <w:p>
      <w:pPr>
        <w:ind w:left="77"/>
        <w:shd w:val="clear" w:fill="FFFFFF" w:color="auto"/>
        <w:tabs>
          <w:tab w:val="left" w:pos="7982" w:leader="none"/>
        </w:tabs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</w:r>
      <w:r/>
    </w:p>
    <w:p>
      <w:pPr>
        <w:ind w:left="77" w:right="5388"/>
        <w:jc w:val="both"/>
        <w:shd w:val="clear" w:fill="FFFFFF" w:color="auto"/>
        <w:tabs>
          <w:tab w:val="left" w:pos="4253" w:leader="none"/>
          <w:tab w:val="left" w:pos="7982" w:leader="none"/>
        </w:tabs>
        <w:rPr>
          <w:rFonts w:eastAsia="Times New Roman"/>
          <w:b/>
          <w:spacing w:val="-4"/>
          <w:sz w:val="28"/>
          <w:szCs w:val="28"/>
          <w:lang w:val="uk-UA"/>
        </w:rPr>
      </w:pPr>
      <w:r>
        <w:rPr>
          <w:rFonts w:eastAsia="Times New Roman"/>
          <w:b/>
          <w:spacing w:val="-7"/>
          <w:sz w:val="28"/>
          <w:szCs w:val="28"/>
          <w:lang w:val="uk-UA"/>
        </w:rPr>
        <w:t xml:space="preserve">Про організацію </w:t>
      </w:r>
      <w:r>
        <w:rPr>
          <w:rFonts w:eastAsia="Times New Roman"/>
          <w:b/>
          <w:sz w:val="28"/>
          <w:szCs w:val="28"/>
          <w:lang w:val="uk-UA"/>
        </w:rPr>
        <w:t xml:space="preserve">суспільно корисних робіт в умовах воєнного стану </w:t>
      </w:r>
      <w:r>
        <w:rPr>
          <w:rFonts w:eastAsia="Times New Roman"/>
          <w:b/>
          <w:spacing w:val="-4"/>
          <w:sz w:val="28"/>
          <w:szCs w:val="28"/>
          <w:lang w:val="uk-UA"/>
        </w:rPr>
        <w:t xml:space="preserve">на території  </w:t>
      </w:r>
      <w:r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Менської міської </w:t>
      </w:r>
      <w:r>
        <w:rPr>
          <w:rFonts w:eastAsia="Times New Roman"/>
          <w:b/>
          <w:spacing w:val="-4"/>
          <w:sz w:val="28"/>
          <w:szCs w:val="28"/>
          <w:lang w:val="uk-UA"/>
        </w:rPr>
        <w:t xml:space="preserve">територіальної громади на 2024 рік</w:t>
      </w:r>
      <w:r/>
    </w:p>
    <w:p>
      <w:pPr>
        <w:shd w:val="clear" w:fill="FFFFFF" w:color="auto"/>
        <w:tabs>
          <w:tab w:val="left" w:pos="798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450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З</w:t>
      </w:r>
      <w:r>
        <w:rPr>
          <w:rFonts w:eastAsia="Times New Roman"/>
          <w:spacing w:val="-4"/>
          <w:sz w:val="28"/>
          <w:szCs w:val="28"/>
          <w:lang w:val="uk-UA"/>
        </w:rPr>
        <w:t xml:space="preserve"> метою ліквідації надзвичайних ситуацій техногенного, природного та воєнного характеру, що виникли в період воєнного стану та їх наслідків, у зв’язку з продовженням військовою агресії з боку російської федерації проти України, задоволення потреб Збройних С</w:t>
      </w:r>
      <w:r>
        <w:rPr>
          <w:rFonts w:eastAsia="Times New Roman"/>
          <w:spacing w:val="-4"/>
          <w:sz w:val="28"/>
          <w:szCs w:val="28"/>
          <w:lang w:val="uk-UA"/>
        </w:rPr>
        <w:t xml:space="preserve">ил, інших військових формувань та сил цивільного захисту, забезпечення функціонування національної економіки та системи забезпечення життєдіяльності населення, враховуючи вимоги указів Президента України від 24 лютого 2022 року № 64/2022 «Про введення воєн</w:t>
      </w:r>
      <w:r>
        <w:rPr>
          <w:rFonts w:eastAsia="Times New Roman"/>
          <w:spacing w:val="-4"/>
          <w:sz w:val="28"/>
          <w:szCs w:val="28"/>
          <w:lang w:val="uk-UA"/>
        </w:rPr>
        <w:t xml:space="preserve">ного стану в Україні» (зі змінами), відповідно до статті 22 Закону України «Про зайнятість населення», статей 3, 4, 8, 15 Закону України «Про правовий режим воєнного стану», Закону України «Про місцеве самоврядування в Україні», Порядку залучення працездат</w:t>
      </w:r>
      <w:r>
        <w:rPr>
          <w:rFonts w:eastAsia="Times New Roman"/>
          <w:spacing w:val="-4"/>
          <w:sz w:val="28"/>
          <w:szCs w:val="28"/>
          <w:lang w:val="uk-UA"/>
        </w:rPr>
        <w:t xml:space="preserve">них осіб до суспільно корисних робіт в умовах воєнного стану, затвердженого постановою Кабінету Міністрів України від 13 липня 2011 року №753 (далі – Порядок), листа .......</w:t>
      </w:r>
      <w:r>
        <w:rPr>
          <w:rFonts w:eastAsia="Times New Roman"/>
          <w:color w:val="000000"/>
          <w:sz w:val="28"/>
        </w:rPr>
        <w:t xml:space="preserve">, 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pacing w:val="-7"/>
          <w:sz w:val="28"/>
          <w:szCs w:val="28"/>
          <w:lang w:val="uk-UA"/>
        </w:rPr>
        <w:t xml:space="preserve">виконавчий</w:t>
      </w:r>
      <w:r>
        <w:rPr>
          <w:rFonts w:eastAsia="Times New Roman"/>
          <w:bCs/>
          <w:spacing w:val="-7"/>
          <w:sz w:val="28"/>
          <w:szCs w:val="28"/>
          <w:lang w:val="uk-UA"/>
        </w:rPr>
        <w:t xml:space="preserve"> комітет Менської міської ради </w:t>
      </w:r>
      <w:r>
        <w:rPr>
          <w:rFonts w:eastAsia="Times New Roman"/>
          <w:bCs/>
          <w:sz w:val="28"/>
          <w:szCs w:val="28"/>
          <w:lang w:val="uk-UA"/>
        </w:rPr>
        <w:t xml:space="preserve">спільно з .......</w:t>
      </w:r>
      <w:r/>
      <w:r>
        <w:rPr>
          <w:rFonts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ind w:firstLine="709"/>
        <w:jc w:val="both"/>
        <w:shd w:val="clear" w:fill="FFFFFF" w:color="auto"/>
        <w:tabs>
          <w:tab w:val="left" w:pos="912" w:leader="none"/>
        </w:tabs>
        <w:rPr>
          <w:sz w:val="28"/>
          <w:szCs w:val="28"/>
        </w:rPr>
      </w:pPr>
      <w:r>
        <w:rPr>
          <w:spacing w:val="-28"/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 xml:space="preserve">Запровадити трудову повинність та організувати суспільно корисні роботи в умовах воєнного стану на території Менської міської територіаль</w:t>
      </w:r>
      <w:r>
        <w:rPr>
          <w:rFonts w:eastAsia="Times New Roman"/>
          <w:spacing w:val="-4"/>
          <w:sz w:val="28"/>
          <w:szCs w:val="28"/>
          <w:lang w:val="uk-UA"/>
        </w:rPr>
        <w:t xml:space="preserve">ної громади (далі – суспільно корисні роботи)</w:t>
      </w:r>
      <w:r>
        <w:rPr>
          <w:rFonts w:eastAsia="Times New Roman"/>
          <w:spacing w:val="-11"/>
          <w:sz w:val="28"/>
          <w:szCs w:val="28"/>
          <w:lang w:val="uk-UA"/>
        </w:rPr>
        <w:t xml:space="preserve">.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 xml:space="preserve">2.</w:t>
      </w:r>
      <w:r>
        <w:rPr>
          <w:spacing w:val="-19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8"/>
          <w:sz w:val="28"/>
          <w:szCs w:val="28"/>
          <w:lang w:val="uk-UA"/>
        </w:rPr>
        <w:t xml:space="preserve">Залучити до суспільно корисних робіт працездатних осіб, у тому числі осіб, що не підлягають призову на військову службу, які з</w:t>
      </w:r>
      <w:r>
        <w:rPr>
          <w:rFonts w:eastAsia="Times New Roman"/>
          <w:spacing w:val="-8"/>
          <w:sz w:val="28"/>
          <w:szCs w:val="28"/>
          <w:lang w:val="uk-UA"/>
        </w:rPr>
        <w:t xml:space="preserve">а віком і станом здоров'я не мають обмежень до роботи в умовах воєнного стану (крім 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стану, а саме: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зареєстрованих безробітних та інших незайнятих осіб, зокрема внутрішньо переміщених;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працівник</w:t>
      </w:r>
      <w:r>
        <w:rPr>
          <w:rFonts w:eastAsia="Times New Roman"/>
          <w:spacing w:val="-8"/>
          <w:sz w:val="28"/>
          <w:szCs w:val="28"/>
          <w:lang w:val="uk-UA"/>
        </w:rPr>
        <w:t xml:space="preserve">ів функціонуючих в умовах воєнного стану підприємств (за погодженням з їх керівниками), що не залучені до виконання мобілізаційних завдань </w:t>
      </w:r>
      <w:r>
        <w:rPr>
          <w:rFonts w:eastAsia="Times New Roman"/>
          <w:spacing w:val="-8"/>
          <w:sz w:val="28"/>
          <w:szCs w:val="28"/>
          <w:lang w:val="uk-UA"/>
        </w:rPr>
        <w:t xml:space="preserve">(замовлень) та не зараховані до складу об’єктових формувань цивільного захисту, - у порядку переведення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осіб, зайняті в особистому селянському господарстві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студентів вищих, учні та слухачі професійно-технічних навчальних закладів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осіб, які забезпечують себе роботою самостійно (за потреби).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sz w:val="28"/>
          <w:szCs w:val="28"/>
          <w:lang w:val="uk-UA"/>
        </w:rPr>
      </w:pPr>
      <w:r/>
      <w:bookmarkStart w:id="0" w:name="_GoBack"/>
      <w:r>
        <w:rPr>
          <w:spacing w:val="-20"/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 xml:space="preserve">Затвердити перелік видів суспі</w:t>
      </w:r>
      <w:r>
        <w:rPr>
          <w:rFonts w:eastAsia="Times New Roman"/>
          <w:spacing w:val="-7"/>
          <w:sz w:val="28"/>
          <w:szCs w:val="28"/>
          <w:lang w:val="uk-UA"/>
        </w:rPr>
        <w:t xml:space="preserve">льно корисних робіт, що виконуються в </w:t>
      </w:r>
      <w:bookmarkEnd w:id="0"/>
      <w:r>
        <w:rPr>
          <w:rFonts w:eastAsia="Times New Roman"/>
          <w:spacing w:val="-7"/>
          <w:sz w:val="28"/>
          <w:szCs w:val="28"/>
          <w:lang w:val="uk-UA"/>
        </w:rPr>
        <w:t xml:space="preserve">умовах воєнного стану, до виконання яких залучаються працездатні особи, в тому числі безробітні, на території  Менської міської територіальної громади згідно з додатком 1.</w:t>
      </w:r>
      <w:r/>
    </w:p>
    <w:p>
      <w:pPr>
        <w:pStyle w:val="880"/>
        <w:numPr>
          <w:ilvl w:val="0"/>
          <w:numId w:val="10"/>
        </w:numPr>
        <w:ind w:left="0" w:firstLine="709"/>
        <w:jc w:val="both"/>
        <w:shd w:val="clear" w:fill="FFFFFF" w:color="auto"/>
        <w:tabs>
          <w:tab w:val="left" w:pos="965" w:leader="none"/>
        </w:tabs>
        <w:rPr>
          <w:i/>
          <w:color w:val="FF0000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  <w:t xml:space="preserve">Затвердити перелік замовників (підприємств, у</w:t>
      </w:r>
      <w:r>
        <w:rPr>
          <w:rFonts w:eastAsia="Times New Roman"/>
          <w:spacing w:val="-7"/>
          <w:sz w:val="28"/>
          <w:szCs w:val="28"/>
          <w:lang w:val="uk-UA"/>
        </w:rPr>
        <w:t xml:space="preserve">станов, організацій) суспільно корисних робіт</w:t>
      </w:r>
      <w:r>
        <w:rPr>
          <w:rFonts w:eastAsia="Times New Roman"/>
          <w:sz w:val="28"/>
          <w:szCs w:val="28"/>
          <w:lang w:val="uk-UA"/>
        </w:rPr>
        <w:t xml:space="preserve"> та визначити межі територій, транспортні маршрути та об’єкти, де планується виконання зазначених робіт, строк виконання, орієнтовну чисельність осіб, критерії їх відбору, місце і час збору та </w:t>
      </w:r>
      <w:r>
        <w:rPr>
          <w:sz w:val="28"/>
          <w:szCs w:val="28"/>
          <w:lang w:val="uk-UA"/>
        </w:rPr>
        <w:t xml:space="preserve">посадових осіб, як</w:t>
      </w:r>
      <w:r>
        <w:rPr>
          <w:sz w:val="28"/>
          <w:szCs w:val="28"/>
          <w:lang w:val="uk-UA"/>
        </w:rPr>
        <w:t xml:space="preserve">і відповідають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за інформування, оповіщення та збір</w:t>
      </w:r>
      <w:r>
        <w:rPr>
          <w:rFonts w:eastAsia="Times New Roman"/>
          <w:spacing w:val="-8"/>
          <w:sz w:val="28"/>
          <w:szCs w:val="28"/>
          <w:lang w:val="uk-UA"/>
        </w:rPr>
        <w:t xml:space="preserve"> працездатних осіб, що залучаються до виконання суспільно корисних </w:t>
      </w:r>
      <w:r>
        <w:rPr>
          <w:rFonts w:eastAsia="Times New Roman"/>
          <w:sz w:val="28"/>
          <w:szCs w:val="28"/>
          <w:lang w:val="uk-UA"/>
        </w:rPr>
        <w:t xml:space="preserve">робіт відповідно до Порядку, згідно з додатком 2.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 xml:space="preserve">Корюківській</w:t>
      </w:r>
      <w:r>
        <w:rPr>
          <w:rFonts w:eastAsia="Times New Roman"/>
          <w:spacing w:val="-7"/>
          <w:sz w:val="28"/>
          <w:szCs w:val="28"/>
          <w:lang w:val="uk-UA"/>
        </w:rPr>
        <w:t xml:space="preserve"> філії Чернігівського обласного центру зайнятості сприяти залученню зареє</w:t>
      </w:r>
      <w:r>
        <w:rPr>
          <w:rFonts w:eastAsia="Times New Roman"/>
          <w:spacing w:val="-7"/>
          <w:sz w:val="28"/>
          <w:szCs w:val="28"/>
          <w:lang w:val="uk-UA"/>
        </w:rPr>
        <w:t xml:space="preserve">строваних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безробітних осіб та незайнятих внутрішньо переміщених осіб працездатного віку з числа застрахованих осіб, які не мають статусу зареєстрованого безробітного, до виконання суспільно корисних </w:t>
      </w:r>
      <w:r>
        <w:rPr>
          <w:rFonts w:eastAsia="Times New Roman"/>
          <w:spacing w:val="-7"/>
          <w:sz w:val="28"/>
          <w:szCs w:val="28"/>
          <w:lang w:val="uk-UA"/>
        </w:rPr>
        <w:t xml:space="preserve">робіт відповідно до Порядку.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6.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Фінансування суспільно к</w:t>
      </w:r>
      <w:r>
        <w:rPr>
          <w:rFonts w:eastAsia="Times New Roman"/>
          <w:spacing w:val="-7"/>
          <w:sz w:val="28"/>
          <w:szCs w:val="28"/>
          <w:lang w:val="uk-UA"/>
        </w:rPr>
        <w:t xml:space="preserve">орисних робіт, що виконуються зареєстрованими безробітними та незайнятими внутрішньо переміщеними особами працездатного віку з числа застрахованих осіб, які не мають статусу зареєстрованого безробітного, здійснити за рахунок коштів Фонду загальнообов’язков</w:t>
      </w:r>
      <w:r>
        <w:rPr>
          <w:rFonts w:eastAsia="Times New Roman"/>
          <w:spacing w:val="-7"/>
          <w:sz w:val="28"/>
          <w:szCs w:val="28"/>
          <w:lang w:val="uk-UA"/>
        </w:rPr>
        <w:t xml:space="preserve">ого державного соціального страхування України на випадок безробіття, передбачених для виконання суспільно корисних робіт, коштів місцевих бюджетів, підприємств, установ, організацій, а також інших джерел, не заборонених законодавством.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Фінансування суспіл</w:t>
      </w:r>
      <w:r>
        <w:rPr>
          <w:rFonts w:eastAsia="Times New Roman"/>
          <w:spacing w:val="-7"/>
          <w:sz w:val="28"/>
          <w:szCs w:val="28"/>
          <w:lang w:val="uk-UA"/>
        </w:rPr>
        <w:t xml:space="preserve">ьно корисних робіт здійснюється шляхом спрямування коштів на: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виплату основної та додаткової заробітної плати, розмір якої не може перевищувати півтора розміру мінімальної заробітної плати, встановленої на дату її нарахування, за повністю виконану місячну </w:t>
      </w:r>
      <w:r>
        <w:rPr>
          <w:rFonts w:eastAsia="Times New Roman"/>
          <w:spacing w:val="-7"/>
          <w:sz w:val="28"/>
          <w:szCs w:val="28"/>
          <w:lang w:val="uk-UA"/>
        </w:rPr>
        <w:t xml:space="preserve">(годинну) норму праці, встановлену з урахуванням положень Законів України «Про оплату праці» та «Про організацію трудових відносин в умовах воєнного стану»;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сплату єдиного внеску на загальнообов’язкове державне соціальне страхування, зокрема у період тимча</w:t>
      </w:r>
      <w:r>
        <w:rPr>
          <w:rFonts w:eastAsia="Times New Roman"/>
          <w:spacing w:val="-7"/>
          <w:sz w:val="28"/>
          <w:szCs w:val="28"/>
          <w:lang w:val="uk-UA"/>
        </w:rPr>
        <w:t xml:space="preserve">сової непрацездатності в межах дії строкового трудового договору;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оплату перших п’яти днів тимчасової непрацездатності в межах дії строкового трудового договору.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7.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У разі залучення до суспільно корисних робіт зареєстрованих безробітних та незайнятих внут</w:t>
      </w:r>
      <w:r>
        <w:rPr>
          <w:rFonts w:eastAsia="Times New Roman"/>
          <w:spacing w:val="-7"/>
          <w:sz w:val="28"/>
          <w:szCs w:val="28"/>
          <w:lang w:val="uk-UA"/>
        </w:rPr>
        <w:t xml:space="preserve">рішньо переміщених осіб працездатного віку з числа застрахованих осіб, які не мають статусу зареєстрованого безробітного замовнику (підприємств, установ, організацій) укласти договір про організацію та </w:t>
      </w:r>
      <w:r>
        <w:rPr>
          <w:rFonts w:eastAsia="Times New Roman"/>
          <w:spacing w:val="-7"/>
          <w:sz w:val="28"/>
          <w:szCs w:val="28"/>
          <w:lang w:val="uk-UA"/>
        </w:rPr>
        <w:t xml:space="preserve">фінансування суспільно корисних робіт з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Корюківською</w:t>
      </w:r>
      <w:r>
        <w:rPr>
          <w:rFonts w:eastAsia="Times New Roman"/>
          <w:spacing w:val="-7"/>
          <w:sz w:val="28"/>
          <w:szCs w:val="28"/>
          <w:lang w:val="uk-UA"/>
        </w:rPr>
        <w:t xml:space="preserve"> ф</w:t>
      </w:r>
      <w:r>
        <w:rPr>
          <w:rFonts w:eastAsia="Times New Roman"/>
          <w:spacing w:val="-7"/>
          <w:sz w:val="28"/>
          <w:szCs w:val="28"/>
          <w:lang w:val="uk-UA"/>
        </w:rPr>
        <w:t xml:space="preserve">ілії Чернігівського обласного центру зайнятості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8.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З кожною особою, залученою до суспільно корисних робіт, укласти строковий трудовий договір.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9. </w:t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 xml:space="preserve">Довести дане рішення до відома населення через засоби масової інформації шляхом оприлюднення на офіційному веб-сайті Менської міської ради відповідно до вимог Закону України «Про доступ до публічної інформації».</w:t>
      </w:r>
      <w:r/>
    </w:p>
    <w:p>
      <w:pPr>
        <w:ind w:right="82" w:firstLine="709"/>
        <w:jc w:val="both"/>
        <w:shd w:val="clear" w:fill="FFFFFF" w:color="auto"/>
        <w:tabs>
          <w:tab w:val="left" w:pos="1008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 xml:space="preserve">10.</w:t>
      </w:r>
      <w:r>
        <w:rPr>
          <w:spacing w:val="-19"/>
          <w:sz w:val="28"/>
          <w:szCs w:val="28"/>
          <w:lang w:val="uk-UA"/>
        </w:rPr>
        <w:tab/>
      </w:r>
      <w:r>
        <w:rPr>
          <w:spacing w:val="-19"/>
          <w:sz w:val="28"/>
          <w:szCs w:val="28"/>
          <w:lang w:val="uk-UA"/>
        </w:rPr>
        <w:tab/>
      </w:r>
      <w:r>
        <w:rPr>
          <w:rFonts w:eastAsia="Times New Roman"/>
          <w:spacing w:val="-8"/>
          <w:sz w:val="28"/>
          <w:szCs w:val="28"/>
          <w:lang w:val="uk-UA"/>
        </w:rPr>
        <w:t xml:space="preserve">Контроль за виконанням цього рішення по</w:t>
      </w:r>
      <w:r>
        <w:rPr>
          <w:rFonts w:eastAsia="Times New Roman"/>
          <w:spacing w:val="-8"/>
          <w:sz w:val="28"/>
          <w:szCs w:val="28"/>
          <w:lang w:val="uk-UA"/>
        </w:rPr>
        <w:t xml:space="preserve">класти на першого заступника міського голови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Неберу</w:t>
      </w:r>
      <w:r>
        <w:rPr>
          <w:rFonts w:eastAsia="Times New Roman"/>
          <w:spacing w:val="-8"/>
          <w:sz w:val="28"/>
          <w:szCs w:val="28"/>
          <w:lang w:val="uk-UA"/>
        </w:rPr>
        <w:t xml:space="preserve"> О.Л.</w:t>
      </w:r>
      <w:r/>
    </w:p>
    <w:p>
      <w:pPr>
        <w:ind w:right="82" w:firstLine="709"/>
        <w:jc w:val="both"/>
        <w:shd w:val="clear" w:fill="FFFFFF" w:color="auto"/>
        <w:tabs>
          <w:tab w:val="left" w:pos="1008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</w:r>
      <w:r/>
    </w:p>
    <w:p>
      <w:pPr>
        <w:ind w:right="82" w:firstLine="709"/>
        <w:jc w:val="both"/>
        <w:shd w:val="clear" w:fill="FFFFFF" w:color="auto"/>
        <w:tabs>
          <w:tab w:val="left" w:pos="1008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</w:r>
      <w:r/>
    </w:p>
    <w:p>
      <w:pPr>
        <w:widowControl/>
        <w:tabs>
          <w:tab w:val="left" w:pos="225" w:leader="none"/>
          <w:tab w:val="left" w:pos="6520" w:leader="none"/>
          <w:tab w:val="right" w:pos="9924" w:leader="none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Міський голова</w:t>
      </w:r>
      <w:r>
        <w:rPr>
          <w:rFonts w:eastAsia="Times New Roman"/>
          <w:sz w:val="28"/>
          <w:szCs w:val="28"/>
          <w:lang w:val="uk-UA"/>
        </w:rPr>
        <w:tab/>
        <w:t xml:space="preserve">Геннадій ПРИМАКОВ</w:t>
      </w:r>
      <w:r>
        <w:rPr>
          <w:rFonts w:eastAsia="Times New Roman"/>
          <w:sz w:val="28"/>
          <w:szCs w:val="28"/>
          <w:lang w:val="uk-UA"/>
        </w:rPr>
        <w:tab/>
        <w:t xml:space="preserve"> </w:t>
      </w:r>
      <w:r/>
    </w:p>
    <w:sectPr>
      <w:headerReference w:type="default" r:id="rId9"/>
      <w:headerReference w:type="first" r:id="rId10"/>
      <w:footnotePr/>
      <w:endnotePr/>
      <w:type w:val="continuous"/>
      <w:pgSz w:w="11909" w:h="16834" w:orient="portrait"/>
      <w:pgMar w:top="1134" w:right="567" w:bottom="1134" w:left="1701" w:header="284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</w:t>
    </w:r>
    <w:r>
      <w:rPr>
        <w:i/>
        <w:sz w:val="24"/>
      </w:rPr>
      <w:t xml:space="preserve">                               </w:t>
    </w:r>
    <w:r/>
  </w:p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9"/>
    <w:link w:val="721"/>
    <w:uiPriority w:val="10"/>
    <w:rPr>
      <w:sz w:val="48"/>
      <w:szCs w:val="48"/>
    </w:rPr>
  </w:style>
  <w:style w:type="character" w:styleId="35">
    <w:name w:val="Subtitle Char"/>
    <w:basedOn w:val="709"/>
    <w:link w:val="723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862"/>
    <w:uiPriority w:val="99"/>
    <w:rPr>
      <w:sz w:val="20"/>
    </w:rPr>
  </w:style>
  <w:style w:type="paragraph" w:styleId="699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700">
    <w:name w:val="Heading 1"/>
    <w:basedOn w:val="699"/>
    <w:next w:val="699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Title"/>
    <w:basedOn w:val="699"/>
    <w:next w:val="69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Назва Знак"/>
    <w:basedOn w:val="709"/>
    <w:link w:val="721"/>
    <w:uiPriority w:val="10"/>
    <w:rPr>
      <w:sz w:val="48"/>
      <w:szCs w:val="48"/>
    </w:rPr>
  </w:style>
  <w:style w:type="paragraph" w:styleId="723">
    <w:name w:val="Subtitle"/>
    <w:basedOn w:val="699"/>
    <w:next w:val="699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 w:customStyle="1">
    <w:name w:val="Підзаголовок Знак"/>
    <w:basedOn w:val="709"/>
    <w:link w:val="723"/>
    <w:uiPriority w:val="11"/>
    <w:rPr>
      <w:sz w:val="24"/>
      <w:szCs w:val="24"/>
    </w:rPr>
  </w:style>
  <w:style w:type="paragraph" w:styleId="725">
    <w:name w:val="Quote"/>
    <w:basedOn w:val="699"/>
    <w:next w:val="699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Знак"/>
    <w:link w:val="725"/>
    <w:uiPriority w:val="29"/>
    <w:rPr>
      <w:i/>
    </w:rPr>
  </w:style>
  <w:style w:type="paragraph" w:styleId="727">
    <w:name w:val="Intense Quote"/>
    <w:basedOn w:val="699"/>
    <w:next w:val="699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30"/>
    <w:rPr>
      <w:i/>
    </w:rPr>
  </w:style>
  <w:style w:type="character" w:styleId="729" w:customStyle="1">
    <w:name w:val="Header Char"/>
    <w:basedOn w:val="709"/>
    <w:uiPriority w:val="99"/>
  </w:style>
  <w:style w:type="character" w:styleId="730" w:customStyle="1">
    <w:name w:val="Footer Char"/>
    <w:basedOn w:val="709"/>
    <w:uiPriority w:val="99"/>
  </w:style>
  <w:style w:type="paragraph" w:styleId="731">
    <w:name w:val="Caption"/>
    <w:basedOn w:val="699"/>
    <w:next w:val="69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Caption Char"/>
    <w:uiPriority w:val="99"/>
  </w:style>
  <w:style w:type="table" w:styleId="733" w:customStyle="1">
    <w:name w:val="Table Grid Light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4">
    <w:name w:val="Plain Table 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2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3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4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5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6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7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4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6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0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1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7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8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9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0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1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2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5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6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7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8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9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0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Lined - Accent 1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9" w:customStyle="1">
    <w:name w:val="Lined - Accent 2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0" w:customStyle="1">
    <w:name w:val="Lined - Accent 3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1" w:customStyle="1">
    <w:name w:val="Lined - Accent 4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2" w:customStyle="1">
    <w:name w:val="Lined - Accent 5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3" w:customStyle="1">
    <w:name w:val="Lined - Accent 6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4" w:customStyle="1">
    <w:name w:val="Bordered &amp; Lined - Accent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Bordered &amp; Lined - Accent 1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6" w:customStyle="1">
    <w:name w:val="Bordered &amp; Lined - Accent 2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7" w:customStyle="1">
    <w:name w:val="Bordered &amp; Lined - Accent 3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8" w:customStyle="1">
    <w:name w:val="Bordered &amp; Lined - Accent 4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9" w:customStyle="1">
    <w:name w:val="Bordered &amp; Lined - Accent 5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0" w:customStyle="1">
    <w:name w:val="Bordered &amp; Lined - Accent 6"/>
    <w:basedOn w:val="7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1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2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3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4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5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6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7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8">
    <w:name w:val="Hyperlink"/>
    <w:uiPriority w:val="99"/>
    <w:unhideWhenUsed/>
    <w:rPr>
      <w:color w:val="0563C1" w:themeColor="hyperlink"/>
      <w:u w:val="single"/>
    </w:rPr>
  </w:style>
  <w:style w:type="paragraph" w:styleId="859">
    <w:name w:val="footnote text"/>
    <w:basedOn w:val="699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виноски Знак"/>
    <w:link w:val="859"/>
    <w:uiPriority w:val="99"/>
    <w:rPr>
      <w:sz w:val="18"/>
    </w:rPr>
  </w:style>
  <w:style w:type="character" w:styleId="861">
    <w:name w:val="footnote reference"/>
    <w:basedOn w:val="709"/>
    <w:uiPriority w:val="99"/>
    <w:unhideWhenUsed/>
    <w:rPr>
      <w:vertAlign w:val="superscript"/>
    </w:rPr>
  </w:style>
  <w:style w:type="paragraph" w:styleId="862">
    <w:name w:val="endnote text"/>
    <w:basedOn w:val="699"/>
    <w:link w:val="863"/>
    <w:uiPriority w:val="99"/>
    <w:semiHidden/>
    <w:unhideWhenUsed/>
  </w:style>
  <w:style w:type="character" w:styleId="863" w:customStyle="1">
    <w:name w:val="Текст кінцевої виноски Знак"/>
    <w:link w:val="862"/>
    <w:uiPriority w:val="99"/>
    <w:rPr>
      <w:sz w:val="20"/>
    </w:rPr>
  </w:style>
  <w:style w:type="character" w:styleId="864">
    <w:name w:val="endnote reference"/>
    <w:basedOn w:val="709"/>
    <w:uiPriority w:val="99"/>
    <w:semiHidden/>
    <w:unhideWhenUsed/>
    <w:rPr>
      <w:vertAlign w:val="superscript"/>
    </w:rPr>
  </w:style>
  <w:style w:type="paragraph" w:styleId="865">
    <w:name w:val="toc 1"/>
    <w:basedOn w:val="699"/>
    <w:next w:val="699"/>
    <w:uiPriority w:val="39"/>
    <w:unhideWhenUsed/>
    <w:pPr>
      <w:spacing w:after="57"/>
    </w:pPr>
  </w:style>
  <w:style w:type="paragraph" w:styleId="866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67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68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69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70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71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72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73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99"/>
    <w:next w:val="699"/>
    <w:uiPriority w:val="99"/>
    <w:unhideWhenUsed/>
  </w:style>
  <w:style w:type="paragraph" w:styleId="876">
    <w:name w:val="Balloon Text"/>
    <w:basedOn w:val="699"/>
    <w:link w:val="8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7" w:customStyle="1">
    <w:name w:val="Текст у виносці Знак"/>
    <w:basedOn w:val="709"/>
    <w:link w:val="876"/>
    <w:uiPriority w:val="99"/>
    <w:semiHidden/>
    <w:rPr>
      <w:rFonts w:ascii="Segoe UI" w:hAnsi="Segoe UI" w:cs="Segoe UI"/>
      <w:sz w:val="18"/>
      <w:szCs w:val="18"/>
    </w:rPr>
  </w:style>
  <w:style w:type="paragraph" w:styleId="878">
    <w:name w:val="No Spacing"/>
    <w:link w:val="879"/>
    <w:qFormat/>
    <w:uiPriority w:val="1"/>
    <w:pPr>
      <w:spacing w:lineRule="auto" w:line="240" w:after="0"/>
    </w:pPr>
  </w:style>
  <w:style w:type="character" w:styleId="879" w:customStyle="1">
    <w:name w:val="Без інтервалів Знак"/>
    <w:basedOn w:val="709"/>
    <w:link w:val="878"/>
    <w:uiPriority w:val="1"/>
  </w:style>
  <w:style w:type="paragraph" w:styleId="880">
    <w:name w:val="List Paragraph"/>
    <w:basedOn w:val="699"/>
    <w:qFormat/>
    <w:uiPriority w:val="34"/>
    <w:pPr>
      <w:contextualSpacing w:val="true"/>
      <w:ind w:left="720"/>
    </w:pPr>
  </w:style>
  <w:style w:type="table" w:styleId="881">
    <w:name w:val="Table Grid"/>
    <w:basedOn w:val="71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2">
    <w:name w:val="Header"/>
    <w:basedOn w:val="699"/>
    <w:link w:val="8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Верхній колонтитул Знак"/>
    <w:basedOn w:val="709"/>
    <w:link w:val="882"/>
    <w:uiPriority w:val="99"/>
    <w:rPr>
      <w:rFonts w:ascii="Times New Roman" w:hAnsi="Times New Roman" w:cs="Times New Roman"/>
      <w:sz w:val="20"/>
      <w:szCs w:val="20"/>
    </w:rPr>
  </w:style>
  <w:style w:type="paragraph" w:styleId="884">
    <w:name w:val="Footer"/>
    <w:basedOn w:val="699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Нижній колонтитул Знак"/>
    <w:basedOn w:val="709"/>
    <w:link w:val="884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ABD24B8-C592-4111-ACFA-D053CA16CA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8</cp:revision>
  <dcterms:created xsi:type="dcterms:W3CDTF">2023-12-15T08:11:00Z</dcterms:created>
  <dcterms:modified xsi:type="dcterms:W3CDTF">2023-12-23T18:47:55Z</dcterms:modified>
</cp:coreProperties>
</file>