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hanging="5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Додаток </w:t>
      </w:r>
      <w:r/>
    </w:p>
    <w:p>
      <w:pPr>
        <w:ind w:left="5669" w:hanging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до рішення  43</w:t>
      </w: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 сесії Менської міської ради 8 скликання</w:t>
      </w:r>
      <w:r/>
    </w:p>
    <w:p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21 грудня 2023 року № 743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ПРОГРАМА</w:t>
      </w:r>
      <w:r/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розвитку фізичної культури і спорту в Менській міській територіальній громаді на 2022-2024 роки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м.Мена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рік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76" w:after="2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ЗАГАЛЬНА ХАРАКТЕРИСТИКА</w:t>
      </w:r>
      <w:r/>
    </w:p>
    <w:tbl>
      <w:tblPr>
        <w:tblStyle w:val="86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5069"/>
      </w:tblGrid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Ініціатор розроблення Програми</w:t>
            </w:r>
            <w:r/>
          </w:p>
        </w:tc>
        <w:tc>
          <w:tcPr>
            <w:tcW w:w="5069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Розробник Програми</w:t>
            </w:r>
            <w:r/>
          </w:p>
        </w:tc>
        <w:tc>
          <w:tcPr>
            <w:tcW w:w="5069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Виконавець Програми</w:t>
            </w:r>
            <w:r/>
          </w:p>
        </w:tc>
        <w:tc>
          <w:tcPr>
            <w:tcW w:w="5069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Сектор фізичної культури  та спорту Менської міської ради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W w:w="5069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Менська міська рада, сектор фі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зичної культури  та спорту Менської міської ради, відділ освіти Менської міської ради та заклади освіти Менської міської ради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Термін реалізації Програми</w:t>
            </w:r>
            <w:r/>
          </w:p>
        </w:tc>
        <w:tc>
          <w:tcPr>
            <w:tcW w:w="506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– 2024 роки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Перелік бюджетів, задіяних у виконання Програми</w:t>
            </w:r>
            <w:r/>
          </w:p>
        </w:tc>
        <w:tc>
          <w:tcPr>
            <w:tcW w:w="5069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Менської міської терито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ріальної громади, інші місцеві бюджети, а також інші джерела фінансування,  незаборонені законодавством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обсяг фінансових ресурсів, необхідних для реалізації Програми, тис. грн.</w:t>
            </w:r>
            <w:r/>
          </w:p>
        </w:tc>
        <w:tc>
          <w:tcPr>
            <w:tcW w:w="506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Всього: 1254,2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роках: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2022 рік -349,6</w:t>
            </w:r>
            <w:r/>
          </w:p>
          <w:p>
            <w:pPr>
              <w:ind w:left="13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рік -412,7</w:t>
            </w:r>
            <w:r/>
          </w:p>
          <w:p>
            <w:pPr>
              <w:ind w:left="13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рік  -  491,9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Джерела фінансування</w:t>
            </w:r>
            <w:r/>
          </w:p>
        </w:tc>
        <w:tc>
          <w:tcPr>
            <w:tcW w:w="506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Менської міської територіальної громади, інші місцеві бюджети, а також інші джерела фінансування, не заборонені законодавством</w:t>
            </w:r>
            <w:r/>
          </w:p>
        </w:tc>
      </w:tr>
    </w:tbl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hd w:val="nil" w:color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/>
    </w:p>
    <w:p>
      <w:pPr>
        <w:jc w:val="center"/>
        <w:spacing w:after="142" w:befor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Визначення проблеми, на розв’язання якої спрямована Програма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Фізи</w:t>
      </w:r>
      <w:r>
        <w:rPr>
          <w:rFonts w:ascii="Times New Roman" w:hAnsi="Times New Roman"/>
          <w:sz w:val="28"/>
          <w:szCs w:val="28"/>
        </w:rPr>
        <w:t xml:space="preserve">чна культура та спорт є ефективним та найбільш економічним засобом профілактики захворюваності, зміцнення генофонду нації та розв’язання різних соціальних проблем. В той же час фізична культура і спорт є складовою частиною освітнього процесу підростаючого </w:t>
      </w:r>
      <w:r>
        <w:rPr>
          <w:rFonts w:ascii="Times New Roman" w:hAnsi="Times New Roman"/>
          <w:sz w:val="28"/>
          <w:szCs w:val="28"/>
        </w:rPr>
        <w:t xml:space="preserve">покоління.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Фізичні вправи відіграють важливу роль у зміцненні здоров’я людини, підвищення фізичних і функціональних можливостей її організму, забезпеченні повноцінного дозвілля, збереженні тривалості активного життя населення.  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сучасних умовах в Україні</w:t>
      </w:r>
      <w:r>
        <w:rPr>
          <w:rFonts w:ascii="Times New Roman" w:hAnsi="Times New Roman"/>
          <w:sz w:val="28"/>
          <w:szCs w:val="28"/>
        </w:rPr>
        <w:t xml:space="preserve"> склалася критична ситуація із станом здоров’я населення. Майже 70% дорослих громадян держави мають низький рівень фізичного здоров’я. В  Менській міській раді проводиться певна робота, спрямована на покращення умов розвитку масової фізичної культури і спо</w:t>
      </w:r>
      <w:r>
        <w:rPr>
          <w:rFonts w:ascii="Times New Roman" w:hAnsi="Times New Roman"/>
          <w:sz w:val="28"/>
          <w:szCs w:val="28"/>
        </w:rPr>
        <w:t xml:space="preserve">рту, збереження всіх складових її діяльності. Проте рівень розвитку фізичного виховання, фізичної культури і спорту далеко не відповідає вимогам сьогодення і не може повністю задовольнити потреб населення громади.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Є потреба у масовій  пропаганді спорту, як</w:t>
      </w:r>
      <w:r>
        <w:rPr>
          <w:rFonts w:ascii="Times New Roman" w:hAnsi="Times New Roman"/>
          <w:sz w:val="28"/>
          <w:szCs w:val="28"/>
        </w:rPr>
        <w:t xml:space="preserve"> невід’ємної і головної складової здорового способу життя, підвищення рівня і популяризації фізичного виховання в сім’ях.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Вищезазначені проблеми можливо розв’язати за умови ефективної підтримки з боку владних структур усіх рівнів, виділення необхідних кош</w:t>
      </w:r>
      <w:r>
        <w:rPr>
          <w:rFonts w:ascii="Times New Roman" w:hAnsi="Times New Roman"/>
          <w:sz w:val="28"/>
          <w:szCs w:val="28"/>
        </w:rPr>
        <w:t xml:space="preserve">тів на проведення спортивних заходів, поліпшення матеріально-технічної бази сфери фізичної культури і спорту тощо.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із основних заходів, що поліпшує стан здоров’я людини, запобігає розвитку різного роду захворювань – є формування у населення свідомого</w:t>
      </w:r>
      <w:r>
        <w:rPr>
          <w:rFonts w:ascii="Times New Roman" w:hAnsi="Times New Roman"/>
          <w:sz w:val="28"/>
          <w:szCs w:val="28"/>
        </w:rPr>
        <w:t xml:space="preserve"> ставлення до свого здоров’я та здоров’я оточуючих. Адже у структурі факторів, що формують здоров’я на умови та спосіб життя, припадає майже 70 відсотків.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Звідси випливає гостра потреба у визначенні програмних підходів та пріоритетних напрямів розвитку фіз</w:t>
      </w:r>
      <w:r>
        <w:rPr>
          <w:rFonts w:ascii="Times New Roman" w:hAnsi="Times New Roman"/>
          <w:sz w:val="28"/>
          <w:szCs w:val="28"/>
        </w:rPr>
        <w:t xml:space="preserve">ичного виховання, фізичної культури і спорту, які б забезпечували ефективне функціонування галузі в сучасних умовах розвитку суспільства. 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Програма розроблена відповідно до Закону України «Про фізичну культуру і спорт» і розрахована на 2022-2024 роки, що д</w:t>
      </w:r>
      <w:r>
        <w:rPr>
          <w:rFonts w:ascii="Times New Roman" w:hAnsi="Times New Roman"/>
          <w:sz w:val="28"/>
          <w:szCs w:val="28"/>
        </w:rPr>
        <w:t xml:space="preserve">асть можливість виконати поставлені завдання згідно із сучасними потребами економічного та соціального розвитку громади. Програма повинна сприяти підвищенню авторитету фізичної культури і спорту в громаді і їх розвитку.</w:t>
      </w:r>
      <w:r/>
    </w:p>
    <w:p>
      <w:pPr>
        <w:jc w:val="center"/>
        <w:spacing w:after="142" w:befor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Мета Програми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Метою Програми є: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популяризація здорового способу життя, забезпечення розвитку таких напрямів фізичної культури, як фізичне виховання та масовий спорт, і створення умов для регулярної рухової активності різних верств населення з урахуванням інтересів, побажань, здібностей </w:t>
      </w:r>
      <w:r>
        <w:rPr>
          <w:rFonts w:ascii="Times New Roman" w:hAnsi="Times New Roman"/>
          <w:sz w:val="28"/>
          <w:szCs w:val="28"/>
        </w:rPr>
        <w:t xml:space="preserve">та індивідуальних особливостей кожного;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створення умов для залучення дітей, у тому числі і дітей з інвалідністю,  до занять фізичною культурою;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удосконалення системи морального і матеріального заохочення у сфері фізичної культури та спорту, стимулюванн</w:t>
      </w:r>
      <w:r>
        <w:rPr>
          <w:rFonts w:ascii="Times New Roman" w:hAnsi="Times New Roman"/>
          <w:sz w:val="28"/>
          <w:szCs w:val="28"/>
        </w:rPr>
        <w:t xml:space="preserve">я досягнення високих спортивних результатів;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створення цілісної системи взаємодії державних та громадських інституцій в реалізації державної політики у сфері фізичної культури і спорту.</w:t>
      </w:r>
      <w:r/>
    </w:p>
    <w:p>
      <w:pPr>
        <w:jc w:val="center"/>
        <w:spacing w:after="142" w:befor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Основні завдання та заходи Програми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Основними завданнями Програми</w:t>
      </w:r>
      <w:r>
        <w:rPr>
          <w:rFonts w:ascii="Times New Roman" w:hAnsi="Times New Roman"/>
          <w:sz w:val="28"/>
          <w:szCs w:val="28"/>
        </w:rPr>
        <w:t xml:space="preserve"> є: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створення умов для фізичного виховання, масового спорту, за місцем роботи, проживання та місцях масового відпочинку всіх верств населення;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забезпечення розвитку дитячо-юнацького спорту та спорту вищих досягнень;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забезпечення розвитку олімпійських</w:t>
      </w:r>
      <w:r>
        <w:rPr>
          <w:rFonts w:ascii="Times New Roman" w:hAnsi="Times New Roman"/>
          <w:sz w:val="28"/>
          <w:szCs w:val="28"/>
        </w:rPr>
        <w:t xml:space="preserve"> та не олімпійських видів спорту, видів спорту інвалідів.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Заходи щодо реалізації Програми вкладені в додатку до Програми.</w:t>
      </w:r>
      <w:r/>
    </w:p>
    <w:p>
      <w:pPr>
        <w:jc w:val="center"/>
        <w:spacing w:after="142" w:befor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Обґрунтування шляхів і засобів розв’язання проблем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Розв’язання проблем здійснюється зокрема шляхом</w:t>
      </w:r>
      <w:r>
        <w:rPr>
          <w:sz w:val="28"/>
          <w:szCs w:val="28"/>
        </w:rPr>
        <w:t xml:space="preserve">:</w:t>
      </w:r>
      <w:r/>
    </w:p>
    <w:p>
      <w:pPr>
        <w:pStyle w:val="861"/>
        <w:numPr>
          <w:ilvl w:val="0"/>
          <w:numId w:val="1"/>
        </w:numPr>
        <w:ind w:left="0" w:firstLine="0"/>
        <w:jc w:val="both"/>
        <w:tabs>
          <w:tab w:val="left" w:pos="425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підтримання та розвитку</w:t>
      </w:r>
      <w:r>
        <w:rPr>
          <w:rFonts w:ascii="Times New Roman" w:hAnsi="Times New Roman"/>
          <w:sz w:val="28"/>
          <w:szCs w:val="28"/>
        </w:rPr>
        <w:t xml:space="preserve"> олімпійського, не олімпійського, дефлімпійського та паралімпійського руху;</w:t>
      </w:r>
      <w:r/>
    </w:p>
    <w:p>
      <w:pPr>
        <w:pStyle w:val="861"/>
        <w:numPr>
          <w:ilvl w:val="0"/>
          <w:numId w:val="1"/>
        </w:numPr>
        <w:ind w:left="0" w:firstLine="0"/>
        <w:jc w:val="both"/>
        <w:tabs>
          <w:tab w:val="left" w:pos="425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взаємодія з громадськими організаціями фізкультурно-спортивної спрямованості та іншими суб’єктами сфери фізичної культури і спорту;</w:t>
      </w:r>
      <w:r/>
    </w:p>
    <w:p>
      <w:pPr>
        <w:pStyle w:val="861"/>
        <w:numPr>
          <w:ilvl w:val="0"/>
          <w:numId w:val="1"/>
        </w:numPr>
        <w:ind w:left="0" w:firstLine="0"/>
        <w:jc w:val="both"/>
        <w:tabs>
          <w:tab w:val="left" w:pos="425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</w:t>
      </w:r>
      <w:r>
        <w:rPr>
          <w:rFonts w:ascii="Times New Roman" w:hAnsi="Times New Roman"/>
          <w:sz w:val="28"/>
          <w:szCs w:val="28"/>
        </w:rPr>
        <w:t xml:space="preserve">уляризація здорового способу життя, подолання стану суспільної байдужості до здоров</w:t>
      </w:r>
      <w:r>
        <w:rPr>
          <w:rFonts w:cs="Microsoft Himalaya"/>
          <w:sz w:val="28"/>
          <w:szCs w:val="28"/>
        </w:rPr>
        <w:t xml:space="preserve">’</w:t>
      </w:r>
      <w:r>
        <w:rPr>
          <w:rFonts w:ascii="Times New Roman" w:hAnsi="Times New Roman"/>
          <w:sz w:val="28"/>
          <w:szCs w:val="28"/>
        </w:rPr>
        <w:t xml:space="preserve">я нації.</w:t>
      </w:r>
      <w:r/>
    </w:p>
    <w:p>
      <w:pPr>
        <w:jc w:val="center"/>
        <w:spacing w:after="142" w:befor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Очікувані результати, ефективність Програми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Виконання Програми дасть можливість:</w:t>
      </w:r>
      <w:r/>
    </w:p>
    <w:p>
      <w:pPr>
        <w:pStyle w:val="861"/>
        <w:numPr>
          <w:ilvl w:val="0"/>
          <w:numId w:val="1"/>
        </w:numPr>
        <w:ind w:left="0" w:firstLine="0"/>
        <w:jc w:val="both"/>
        <w:tabs>
          <w:tab w:val="left" w:pos="425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залучати до змістовного дозвілля та відпочинку населення, насамперед молодь;</w:t>
      </w:r>
      <w:r/>
    </w:p>
    <w:p>
      <w:pPr>
        <w:pStyle w:val="861"/>
        <w:numPr>
          <w:ilvl w:val="0"/>
          <w:numId w:val="1"/>
        </w:numPr>
        <w:ind w:left="0" w:firstLine="0"/>
        <w:jc w:val="both"/>
        <w:tabs>
          <w:tab w:val="left" w:pos="425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зб</w:t>
      </w:r>
      <w:r>
        <w:rPr>
          <w:rFonts w:ascii="Times New Roman" w:hAnsi="Times New Roman"/>
          <w:sz w:val="28"/>
          <w:szCs w:val="28"/>
        </w:rPr>
        <w:t xml:space="preserve">ільшити обсяг рухової активності жителів громади;</w:t>
      </w:r>
      <w:r/>
    </w:p>
    <w:p>
      <w:pPr>
        <w:pStyle w:val="861"/>
        <w:numPr>
          <w:ilvl w:val="0"/>
          <w:numId w:val="1"/>
        </w:numPr>
        <w:ind w:left="0" w:firstLine="0"/>
        <w:jc w:val="both"/>
        <w:tabs>
          <w:tab w:val="left" w:pos="425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створити умови для розвитку резервного спорту та поповнення основного складу національних збірних команд;</w:t>
      </w:r>
      <w:r/>
    </w:p>
    <w:p>
      <w:pPr>
        <w:pStyle w:val="861"/>
        <w:numPr>
          <w:ilvl w:val="0"/>
          <w:numId w:val="1"/>
        </w:numPr>
        <w:ind w:left="0" w:firstLine="0"/>
        <w:jc w:val="both"/>
        <w:tabs>
          <w:tab w:val="left" w:pos="425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щороку зменшувати відсоток кількості населення, особливо дітей та молоді, віднесених за станом здоро</w:t>
      </w:r>
      <w:r>
        <w:rPr>
          <w:rFonts w:ascii="Times New Roman" w:hAnsi="Times New Roman"/>
          <w:sz w:val="28"/>
          <w:szCs w:val="28"/>
        </w:rPr>
        <w:t xml:space="preserve">в’я до спеціальної медичної групи;</w:t>
      </w:r>
      <w:r/>
    </w:p>
    <w:p>
      <w:pPr>
        <w:pStyle w:val="861"/>
        <w:numPr>
          <w:ilvl w:val="0"/>
          <w:numId w:val="1"/>
        </w:numPr>
        <w:ind w:left="0" w:firstLine="0"/>
        <w:jc w:val="both"/>
        <w:tabs>
          <w:tab w:val="left" w:pos="425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привести стан спортивних об’єктів Менської міської ради у відповідність із сучасними стандартами, що надасть змогу забезпечити на спортивних спорудах мінімальний (науково обґрунтований) обсяг рухової активності громадян;</w:t>
      </w:r>
      <w:r/>
    </w:p>
    <w:p>
      <w:pPr>
        <w:pStyle w:val="861"/>
        <w:numPr>
          <w:ilvl w:val="0"/>
          <w:numId w:val="1"/>
        </w:numPr>
        <w:ind w:left="0" w:firstLine="0"/>
        <w:jc w:val="both"/>
        <w:tabs>
          <w:tab w:val="left" w:pos="425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підви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щити авторитет Менської міської територіальної громади  у обласному, всеукраїнському спортивному співтоваристві.</w:t>
      </w:r>
      <w:r/>
    </w:p>
    <w:p>
      <w:pPr>
        <w:jc w:val="center"/>
        <w:spacing w:after="142" w:befor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Нагородження кращих спортсменів та тренерів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підвищення рівня престижності спорту на території громади, збільшення зацікавленості до</w:t>
      </w:r>
      <w:r>
        <w:rPr>
          <w:rFonts w:ascii="Times New Roman" w:hAnsi="Times New Roman"/>
          <w:sz w:val="28"/>
          <w:szCs w:val="28"/>
        </w:rPr>
        <w:t xml:space="preserve"> занять фізичною культурою і спортом в кінці кожного року необхідно нагороджувати кращих спортсменів, команд та </w:t>
      </w:r>
      <w:r>
        <w:rPr>
          <w:rFonts w:ascii="Times New Roman" w:hAnsi="Times New Roman"/>
          <w:sz w:val="28"/>
          <w:szCs w:val="28"/>
        </w:rPr>
        <w:t xml:space="preserve">тренерів Менської міської територіальної громади з розрахунком участі у змаганнях різних рангів, затверджених Єдиною спортивною класифікацією Ук</w:t>
      </w:r>
      <w:r>
        <w:rPr>
          <w:rFonts w:ascii="Times New Roman" w:hAnsi="Times New Roman"/>
          <w:sz w:val="28"/>
          <w:szCs w:val="28"/>
        </w:rPr>
        <w:t xml:space="preserve">раїни для визнаних видів спорту в Україні: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ранг - Ігри Олімпіад, зимові Олімпійські ігри, Паралімпійські ігри, Дефлімпійські ігри, Всесвітні ігри;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/>
      <w:bookmarkStart w:id="0" w:name="n141"/>
      <w:r/>
      <w:bookmarkEnd w:id="0"/>
      <w:r>
        <w:rPr>
          <w:rFonts w:ascii="Times New Roman" w:hAnsi="Times New Roman"/>
          <w:sz w:val="28"/>
          <w:szCs w:val="28"/>
        </w:rPr>
        <w:t xml:space="preserve">II ранг - чемпіонати світу та Європи серед спортсменів усіх вікових груп, Глобальні ігри, розіграші Кубків </w:t>
      </w:r>
      <w:r>
        <w:rPr>
          <w:rFonts w:ascii="Times New Roman" w:hAnsi="Times New Roman"/>
          <w:sz w:val="28"/>
          <w:szCs w:val="28"/>
        </w:rPr>
        <w:t xml:space="preserve">світу та Європи, Гран-прі, Всесвітні шахові олімпіади, Всесвітні інтелектуальні ігри, Всесвітні ігри з єдиноборств, Всесвітні ігри серед інвалідів, Юнацькі олімпійські ігри, Всесвітні Універсіади, Європейські спортивні ігри, інші міжнародні змагання, що вк</w:t>
      </w:r>
      <w:r>
        <w:rPr>
          <w:rFonts w:ascii="Times New Roman" w:hAnsi="Times New Roman"/>
          <w:sz w:val="28"/>
          <w:szCs w:val="28"/>
        </w:rPr>
        <w:t xml:space="preserve">лючені до календарних планів міжнародних федерацій та федерацій інвалідів з відповідних нозологій;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/>
      <w:bookmarkStart w:id="1" w:name="n142"/>
      <w:r/>
      <w:bookmarkEnd w:id="1"/>
      <w:r>
        <w:rPr>
          <w:rFonts w:ascii="Times New Roman" w:hAnsi="Times New Roman"/>
          <w:sz w:val="28"/>
          <w:szCs w:val="28"/>
        </w:rPr>
        <w:t xml:space="preserve">III ранг - чемпіонати України, розіграші Кубків України, інші офіційні всеукраїнські змагання, що включені до Єдиного календарного плану фізкультурно-оздоров</w:t>
      </w:r>
      <w:r>
        <w:rPr>
          <w:rFonts w:ascii="Times New Roman" w:hAnsi="Times New Roman"/>
          <w:sz w:val="28"/>
          <w:szCs w:val="28"/>
        </w:rPr>
        <w:t xml:space="preserve">чих та спортивних заходів України, крім молодших вікових груп;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/>
      <w:bookmarkStart w:id="2" w:name="n143"/>
      <w:r/>
      <w:bookmarkEnd w:id="2"/>
      <w:r>
        <w:rPr>
          <w:rFonts w:ascii="Times New Roman" w:hAnsi="Times New Roman"/>
          <w:sz w:val="28"/>
          <w:szCs w:val="28"/>
        </w:rPr>
        <w:t xml:space="preserve">IV ранг - чемпіонати України, інші офіційні всеукраїнські змагання серед спортсменів молодших вікових груп, що включені до Єдиного календарного плану фізкультурно-оздоровчих та спортивних заход</w:t>
      </w:r>
      <w:r>
        <w:rPr>
          <w:rFonts w:ascii="Times New Roman" w:hAnsi="Times New Roman"/>
          <w:sz w:val="28"/>
          <w:szCs w:val="28"/>
        </w:rPr>
        <w:t xml:space="preserve">ів України;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/>
      <w:bookmarkStart w:id="3" w:name="n144"/>
      <w:r/>
      <w:bookmarkEnd w:id="3"/>
      <w:r>
        <w:rPr>
          <w:rFonts w:ascii="Times New Roman" w:hAnsi="Times New Roman"/>
          <w:sz w:val="28"/>
          <w:szCs w:val="28"/>
        </w:rPr>
        <w:t xml:space="preserve">V ранг - чемпіонати областей, міста Києва, фізкультурно-спортивних товариств (далі - ФСТ), крім молодших вікових груп, зональні змагання, що включені до відповідних календарних планів спортивних змагань;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/>
      <w:bookmarkStart w:id="4" w:name="n145"/>
      <w:r/>
      <w:bookmarkEnd w:id="4"/>
      <w:r>
        <w:rPr>
          <w:rFonts w:ascii="Times New Roman" w:hAnsi="Times New Roman"/>
          <w:sz w:val="28"/>
          <w:szCs w:val="28"/>
        </w:rPr>
        <w:t xml:space="preserve">VI ранг - чемпіонати областей, ФСТ серед</w:t>
      </w:r>
      <w:r>
        <w:rPr>
          <w:rFonts w:ascii="Times New Roman" w:hAnsi="Times New Roman"/>
          <w:sz w:val="28"/>
          <w:szCs w:val="28"/>
        </w:rPr>
        <w:t xml:space="preserve"> спортсменів молодших вікових груп, чемпіонати міст, районів, спортивних клубів, дитячо-юнацьких спортивних шкіл, спеціалізованих навчальних закладів спортивного профілю та інші, що включені до відповідних календарних планів спортивних змагань.</w:t>
      </w:r>
      <w:r/>
    </w:p>
    <w:p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Розмір одно</w:t>
      </w:r>
      <w:r>
        <w:rPr>
          <w:rFonts w:ascii="Times New Roman" w:hAnsi="Times New Roman"/>
          <w:b/>
          <w:sz w:val="28"/>
          <w:szCs w:val="28"/>
        </w:rPr>
        <w:t xml:space="preserve">разової винагороди, що виплачується  за перемоги у змаганнях різного рангу: </w:t>
      </w:r>
      <w:r/>
    </w:p>
    <w:tbl>
      <w:tblPr>
        <w:tblStyle w:val="862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1867"/>
        <w:gridCol w:w="6261"/>
      </w:tblGrid>
      <w:tr>
        <w:trPr>
          <w:trHeight w:val="515"/>
        </w:trPr>
        <w:tc>
          <w:tcPr>
            <w:tcW w:w="16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Ранг змагань</w:t>
            </w:r>
            <w:r/>
          </w:p>
        </w:tc>
        <w:tc>
          <w:tcPr>
            <w:tcW w:w="186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Зайняті місця</w:t>
            </w:r>
            <w:r/>
          </w:p>
        </w:tc>
        <w:tc>
          <w:tcPr>
            <w:tcW w:w="626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Сума винагороди у грн з врахуванням податків та зборів/без врахування податків і зборів</w:t>
            </w:r>
            <w:r/>
          </w:p>
        </w:tc>
      </w:tr>
      <w:tr>
        <w:trPr>
          <w:trHeight w:val="304"/>
        </w:trPr>
        <w:tc>
          <w:tcPr>
            <w:tcW w:w="164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</w:t>
            </w:r>
            <w:r/>
          </w:p>
        </w:tc>
        <w:tc>
          <w:tcPr>
            <w:tcBorders>
              <w:bottom w:val="single" w:sz="4" w:space="0" w:color="auto"/>
            </w:tcBorders>
            <w:tcW w:w="18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І-ІІІ</w:t>
            </w:r>
            <w:r/>
          </w:p>
        </w:tc>
        <w:tc>
          <w:tcPr>
            <w:tcBorders>
              <w:bottom w:val="single" w:sz="4" w:space="0" w:color="auto"/>
            </w:tcBorders>
            <w:tcW w:w="626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6211,18/5000,00</w:t>
            </w:r>
            <w:r/>
          </w:p>
        </w:tc>
      </w:tr>
      <w:tr>
        <w:trPr>
          <w:trHeight w:val="225"/>
        </w:trPr>
        <w:tc>
          <w:tcPr>
            <w:tcW w:w="1642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8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IV-VIII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626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3726,71/3000,00</w:t>
            </w:r>
            <w:r/>
          </w:p>
        </w:tc>
      </w:tr>
      <w:tr>
        <w:trPr>
          <w:trHeight w:val="195"/>
        </w:trPr>
        <w:tc>
          <w:tcPr>
            <w:tcW w:w="164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ІІ</w:t>
            </w:r>
            <w:r/>
          </w:p>
        </w:tc>
        <w:tc>
          <w:tcPr>
            <w:tcBorders>
              <w:bottom w:val="single" w:sz="4" w:space="0" w:color="auto"/>
            </w:tcBorders>
            <w:tcW w:w="18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І-ІІІ</w:t>
            </w:r>
            <w:r/>
          </w:p>
        </w:tc>
        <w:tc>
          <w:tcPr>
            <w:tcBorders>
              <w:bottom w:val="single" w:sz="4" w:space="0" w:color="auto"/>
            </w:tcBorders>
            <w:tcW w:w="626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3726,71/3000,00</w:t>
            </w:r>
            <w:r/>
          </w:p>
        </w:tc>
      </w:tr>
      <w:tr>
        <w:trPr>
          <w:trHeight w:val="120"/>
        </w:trPr>
        <w:tc>
          <w:tcPr>
            <w:tcW w:w="1642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8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IV-VIII</w:t>
            </w:r>
            <w:r/>
          </w:p>
        </w:tc>
        <w:tc>
          <w:tcPr>
            <w:tcBorders>
              <w:top w:val="single" w:sz="4" w:space="0" w:color="auto"/>
            </w:tcBorders>
            <w:tcW w:w="626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1863,36/1500,00</w:t>
            </w:r>
            <w:r/>
          </w:p>
        </w:tc>
      </w:tr>
      <w:tr>
        <w:trPr>
          <w:trHeight w:val="330"/>
        </w:trPr>
        <w:tc>
          <w:tcPr>
            <w:tcW w:w="164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ІІІ- IV</w:t>
            </w:r>
            <w:r/>
          </w:p>
        </w:tc>
        <w:tc>
          <w:tcPr>
            <w:tcW w:w="18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І-ІІІ</w:t>
            </w:r>
            <w:r/>
          </w:p>
        </w:tc>
        <w:tc>
          <w:tcPr>
            <w:tcW w:w="626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1242,23/1000,00</w:t>
            </w:r>
            <w:r/>
          </w:p>
        </w:tc>
      </w:tr>
      <w:tr>
        <w:trPr>
          <w:trHeight w:val="330"/>
        </w:trPr>
        <w:tc>
          <w:tcPr>
            <w:tcW w:w="164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V-VII</w:t>
            </w:r>
            <w:r/>
          </w:p>
        </w:tc>
        <w:tc>
          <w:tcPr>
            <w:tcW w:w="18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І-ІІІ</w:t>
            </w:r>
            <w:r/>
          </w:p>
        </w:tc>
        <w:tc>
          <w:tcPr>
            <w:tcW w:w="626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621,10/500,00</w:t>
            </w:r>
            <w:r/>
          </w:p>
        </w:tc>
      </w:tr>
    </w:tbl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Перелік документів для отримання одноразової винагороди:</w:t>
      </w:r>
      <w:r/>
    </w:p>
    <w:p>
      <w:pPr>
        <w:pStyle w:val="86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подання тренера;</w:t>
      </w:r>
      <w:r/>
    </w:p>
    <w:p>
      <w:pPr>
        <w:pStyle w:val="86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копія витягу з протоколу змагання або грамоти;</w:t>
      </w:r>
      <w:r/>
    </w:p>
    <w:p>
      <w:pPr>
        <w:pStyle w:val="861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копії паспорта (свідоцтва про народження), </w:t>
      </w:r>
      <w:hyperlink r:id="rId15" w:tooltip="https://uk.wikipedia.org/wiki/%D0%86%D0%B4%D0%B5%D0%BD%D1%82%D0%B8%D1%84%D1%96%D0%BA%D0%B0%D1%86%D1%96%D0%B9%D0%BD%D0%B8%D0%B9_%D0%BD%D0%BE%D0%BC%D0%B5%D1%80_%D1%84%D1%96%D0%B7%D0%B8%D1%87%D0%BD%D0%BE%D1%97_%D0%BE%D1%81%D0%BE%D0%B1%D0%B8" w:history="1">
        <w:r>
          <w:rPr>
            <w:rFonts w:ascii="Times New Roman" w:hAnsi="Times New Roman"/>
            <w:bCs/>
            <w:sz w:val="28"/>
            <w:szCs w:val="28"/>
            <w:shd w:val="clear" w:fill="FFFFFF" w:color="auto"/>
          </w:rPr>
          <w:t xml:space="preserve">ідентифікаційного номера фізичної особи</w:t>
        </w:r>
      </w:hyperlink>
      <w:r>
        <w:t xml:space="preserve">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</w:rPr>
        <w:t xml:space="preserve">До списку нагороджених включаються тренери, які виховали (підготували) спортсменів\команди-переможці. Винагорода тренерам виплачується за одну перемогу вихованця у найвищому ранзі змагань. 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</w:rPr>
        <w:t xml:space="preserve">У разі, якщо спортсмени\команди на протязі року неодноразово ставали переможцями змагань різних рівнів, одноразова винагорода виплачується за одну перемогу в найвищому ранзі змагань.</w:t>
      </w:r>
      <w:r/>
    </w:p>
    <w:p>
      <w:pPr>
        <w:jc w:val="center"/>
        <w:spacing w:after="142" w:befor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Фінансове забезпечення Програми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Фінансування Програми здійснюватиметь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ся за рахунок коштів місцевого бюджету, виходячи з його фінансових можливостей, а також інших джерел фінансування, не заборонених чинним законодавством України.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Прогнозований обсяг фінансових ресурсів на 2022 - 2024 роки:</w:t>
      </w:r>
      <w:r/>
    </w:p>
    <w:tbl>
      <w:tblPr>
        <w:tblStyle w:val="862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701"/>
        <w:gridCol w:w="1842"/>
        <w:gridCol w:w="1774"/>
      </w:tblGrid>
      <w:tr>
        <w:trPr>
          <w:trHeight w:val="343"/>
        </w:trPr>
        <w:tc>
          <w:tcPr>
            <w:tcW w:w="23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Джерела фінансування</w:t>
            </w:r>
            <w:r/>
          </w:p>
        </w:tc>
        <w:tc>
          <w:tcPr>
            <w:tcW w:w="212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Обсяг фінансування</w:t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(тис. грн.)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531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У тому числі за роками</w:t>
            </w:r>
            <w:r/>
          </w:p>
        </w:tc>
      </w:tr>
      <w:tr>
        <w:trPr>
          <w:trHeight w:val="133"/>
        </w:trPr>
        <w:tc>
          <w:tcPr>
            <w:tcW w:w="2376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</w:r>
            <w:r/>
          </w:p>
        </w:tc>
        <w:tc>
          <w:tcPr>
            <w:tcW w:w="212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2023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177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2024</w:t>
            </w:r>
            <w:r/>
          </w:p>
        </w:tc>
      </w:tr>
      <w:tr>
        <w:trPr>
          <w:trHeight w:val="62"/>
        </w:trPr>
        <w:tc>
          <w:tcPr>
            <w:tcW w:w="237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Місцеві бюджети</w:t>
            </w:r>
            <w:r/>
          </w:p>
        </w:tc>
        <w:tc>
          <w:tcPr>
            <w:tcW w:w="212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1254,2</w:t>
            </w:r>
            <w:r/>
          </w:p>
        </w:tc>
        <w:tc>
          <w:tcPr>
            <w:tcBorders>
              <w:right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349,6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8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412,7</w:t>
            </w:r>
            <w:r/>
          </w:p>
        </w:tc>
        <w:tc>
          <w:tcPr>
            <w:tcBorders>
              <w:left w:val="single" w:sz="4" w:space="0" w:color="auto"/>
            </w:tcBorders>
            <w:tcW w:w="177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491,9</w:t>
            </w:r>
            <w:r/>
          </w:p>
        </w:tc>
      </w:tr>
    </w:tbl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Фінансування заходів Програми відбувається відповідно до положення про захід, кошторису заходу, який розробляється Сектором фізичної культури</w:t>
      </w:r>
      <w:r>
        <w:rPr>
          <w:rFonts w:ascii="Times New Roman" w:hAnsi="Times New Roman"/>
          <w:sz w:val="28"/>
          <w:szCs w:val="28"/>
        </w:rPr>
        <w:t xml:space="preserve"> та спорту, та подається на погодження міському голові.</w:t>
      </w:r>
      <w:r/>
    </w:p>
    <w:p>
      <w:pPr>
        <w:jc w:val="center"/>
        <w:spacing w:after="142" w:befor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Управління та контроль за ходом виконання Програми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Головним виконавцем Програми є Сектор фізичної культури та спорту Менської міської ради. Контроль за її виконанням здійснює заступник міського гол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ови з питань діяльності виконавчих органів ради відповідно до розподілу функціональних обов’язків.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Заступник міського голови з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питань діяльності виконавчих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органів ради                                                                                Вікто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рія ПРИЩЕПА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icrosoft Himalaya">
    <w:panose1 w:val="01000503020000020002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jc w:val="right"/>
      <w:rPr>
        <w:rFonts w:ascii="Times New Roman" w:hAnsi="Times New Roman" w:eastAsia="Times New Roman"/>
        <w:i/>
      </w:rPr>
    </w:pPr>
    <w:fldSimple w:instr="PAGE \* MERGEFORMAT">
      <w:r>
        <w:rPr>
          <w:rFonts w:ascii="Times New Roman" w:hAnsi="Times New Roman" w:eastAsia="Times New Roman"/>
          <w:i/>
        </w:rPr>
        <w:t xml:space="preserve">1</w:t>
      </w:r>
    </w:fldSimple>
    <w:r>
      <w:rPr>
        <w:rFonts w:ascii="Times New Roman" w:hAnsi="Times New Roman" w:eastAsia="Times New Roman"/>
        <w:i/>
      </w:rPr>
    </w:r>
    <w:r>
      <w:rPr>
        <w:rFonts w:ascii="Times New Roman" w:hAnsi="Times New Roman" w:eastAsia="Times New Roman"/>
        <w:i/>
      </w:rPr>
      <w:t xml:space="preserve">                                         Продовження додатка</w:t>
    </w:r>
    <w:r/>
  </w:p>
  <w:p>
    <w:pPr>
      <w:pStyle w:val="89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56"/>
      </w:pPr>
      <w:rPr>
        <w:rFonts w:hint="default"/>
        <w:b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56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Endnote Text Char"/>
    <w:link w:val="799"/>
    <w:uiPriority w:val="99"/>
    <w:rPr>
      <w:sz w:val="20"/>
    </w:rPr>
  </w:style>
  <w:style w:type="paragraph" w:styleId="687" w:default="1">
    <w:name w:val="Normal"/>
    <w:qFormat/>
    <w:rPr>
      <w:sz w:val="24"/>
      <w:szCs w:val="24"/>
      <w:lang w:val="uk-UA"/>
    </w:rPr>
    <w:pPr>
      <w:spacing w:lineRule="auto" w:line="240" w:after="0"/>
    </w:p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paragraph" w:styleId="691" w:customStyle="1">
    <w:name w:val="Caption"/>
    <w:basedOn w:val="687"/>
    <w:next w:val="6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 w:customStyle="1">
    <w:name w:val="Caption Char"/>
    <w:link w:val="892"/>
    <w:uiPriority w:val="99"/>
  </w:style>
  <w:style w:type="table" w:styleId="693" w:customStyle="1">
    <w:name w:val="Table Grid Light"/>
    <w:basedOn w:val="68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Plain Table 1"/>
    <w:basedOn w:val="68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Plain Table 2"/>
    <w:basedOn w:val="6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 w:customStyle="1">
    <w:name w:val="Plain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 w:customStyle="1">
    <w:name w:val="Plain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Plain Table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 w:customStyle="1">
    <w:name w:val="Grid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Grid Table 4 - Accent 1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2" w:customStyle="1">
    <w:name w:val="Grid Table 4 - Accent 2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3" w:customStyle="1">
    <w:name w:val="Grid Table 4 - Accent 3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4" w:customStyle="1">
    <w:name w:val="Grid Table 4 - Accent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5" w:customStyle="1">
    <w:name w:val="Grid Table 4 - Accent 5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6" w:customStyle="1">
    <w:name w:val="Grid Table 4 - Accent 6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7" w:customStyle="1">
    <w:name w:val="Grid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6" w:customStyle="1">
    <w:name w:val="Grid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7" w:customStyle="1">
    <w:name w:val="Grid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8" w:customStyle="1">
    <w:name w:val="Grid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9" w:customStyle="1">
    <w:name w:val="Grid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 w:customStyle="1">
    <w:name w:val="Grid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List Table 2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7" w:customStyle="1">
    <w:name w:val="List Table 2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8" w:customStyle="1">
    <w:name w:val="List Table 2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9" w:customStyle="1">
    <w:name w:val="List Table 2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0" w:customStyle="1">
    <w:name w:val="List Table 2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1" w:customStyle="1">
    <w:name w:val="List Table 2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2" w:customStyle="1">
    <w:name w:val="List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4" w:customStyle="1">
    <w:name w:val="List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5" w:customStyle="1">
    <w:name w:val="List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List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7" w:customStyle="1">
    <w:name w:val="List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List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9" w:customStyle="1">
    <w:name w:val="List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0" w:customStyle="1">
    <w:name w:val="List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ned - Accent"/>
    <w:basedOn w:val="68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8" w:customStyle="1">
    <w:name w:val="Bordered &amp; Lined - Accent"/>
    <w:basedOn w:val="68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paragraph" w:styleId="799">
    <w:name w:val="endnote text"/>
    <w:basedOn w:val="687"/>
    <w:link w:val="800"/>
    <w:uiPriority w:val="99"/>
    <w:semiHidden/>
    <w:unhideWhenUsed/>
    <w:rPr>
      <w:sz w:val="20"/>
    </w:rPr>
  </w:style>
  <w:style w:type="character" w:styleId="800" w:customStyle="1">
    <w:name w:val="Текст концевой сноски Знак"/>
    <w:link w:val="799"/>
    <w:uiPriority w:val="99"/>
    <w:rPr>
      <w:sz w:val="20"/>
    </w:rPr>
  </w:style>
  <w:style w:type="character" w:styleId="801">
    <w:name w:val="endnote reference"/>
    <w:basedOn w:val="688"/>
    <w:uiPriority w:val="99"/>
    <w:semiHidden/>
    <w:unhideWhenUsed/>
    <w:rPr>
      <w:vertAlign w:val="superscript"/>
    </w:rPr>
  </w:style>
  <w:style w:type="paragraph" w:styleId="802">
    <w:name w:val="table of figures"/>
    <w:basedOn w:val="687"/>
    <w:next w:val="687"/>
    <w:uiPriority w:val="99"/>
    <w:unhideWhenUsed/>
  </w:style>
  <w:style w:type="character" w:styleId="803" w:customStyle="1">
    <w:name w:val="Footnote Text Char"/>
    <w:link w:val="840"/>
    <w:uiPriority w:val="99"/>
    <w:rPr>
      <w:sz w:val="18"/>
    </w:rPr>
  </w:style>
  <w:style w:type="character" w:styleId="804" w:customStyle="1">
    <w:name w:val="Heading 1 Char"/>
    <w:basedOn w:val="688"/>
    <w:link w:val="852"/>
    <w:uiPriority w:val="9"/>
    <w:rPr>
      <w:rFonts w:ascii="Arial" w:hAnsi="Arial" w:cs="Arial" w:eastAsia="Arial"/>
      <w:sz w:val="40"/>
      <w:szCs w:val="40"/>
    </w:rPr>
  </w:style>
  <w:style w:type="character" w:styleId="805" w:customStyle="1">
    <w:name w:val="Heading 2 Char"/>
    <w:basedOn w:val="688"/>
    <w:link w:val="853"/>
    <w:uiPriority w:val="9"/>
    <w:rPr>
      <w:rFonts w:ascii="Arial" w:hAnsi="Arial" w:cs="Arial" w:eastAsia="Arial"/>
      <w:sz w:val="34"/>
    </w:rPr>
  </w:style>
  <w:style w:type="character" w:styleId="806" w:customStyle="1">
    <w:name w:val="Heading 3 Char"/>
    <w:basedOn w:val="688"/>
    <w:link w:val="854"/>
    <w:uiPriority w:val="9"/>
    <w:rPr>
      <w:rFonts w:ascii="Arial" w:hAnsi="Arial" w:cs="Arial" w:eastAsia="Arial"/>
      <w:sz w:val="30"/>
      <w:szCs w:val="30"/>
    </w:rPr>
  </w:style>
  <w:style w:type="character" w:styleId="807" w:customStyle="1">
    <w:name w:val="Heading 4 Char"/>
    <w:basedOn w:val="688"/>
    <w:link w:val="855"/>
    <w:uiPriority w:val="9"/>
    <w:rPr>
      <w:rFonts w:ascii="Arial" w:hAnsi="Arial" w:cs="Arial" w:eastAsia="Arial"/>
      <w:b/>
      <w:bCs/>
      <w:sz w:val="26"/>
      <w:szCs w:val="26"/>
    </w:rPr>
  </w:style>
  <w:style w:type="character" w:styleId="808" w:customStyle="1">
    <w:name w:val="Heading 5 Char"/>
    <w:basedOn w:val="688"/>
    <w:link w:val="856"/>
    <w:uiPriority w:val="9"/>
    <w:rPr>
      <w:rFonts w:ascii="Arial" w:hAnsi="Arial" w:cs="Arial" w:eastAsia="Arial"/>
      <w:b/>
      <w:bCs/>
      <w:sz w:val="24"/>
      <w:szCs w:val="24"/>
    </w:rPr>
  </w:style>
  <w:style w:type="character" w:styleId="809" w:customStyle="1">
    <w:name w:val="Heading 6 Char"/>
    <w:basedOn w:val="688"/>
    <w:link w:val="857"/>
    <w:uiPriority w:val="9"/>
    <w:rPr>
      <w:rFonts w:ascii="Arial" w:hAnsi="Arial" w:cs="Arial" w:eastAsia="Arial"/>
      <w:b/>
      <w:bCs/>
      <w:sz w:val="22"/>
      <w:szCs w:val="22"/>
    </w:rPr>
  </w:style>
  <w:style w:type="character" w:styleId="810" w:customStyle="1">
    <w:name w:val="Heading 7 Char"/>
    <w:basedOn w:val="688"/>
    <w:link w:val="8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1" w:customStyle="1">
    <w:name w:val="Heading 8 Char"/>
    <w:basedOn w:val="688"/>
    <w:link w:val="859"/>
    <w:uiPriority w:val="9"/>
    <w:rPr>
      <w:rFonts w:ascii="Arial" w:hAnsi="Arial" w:cs="Arial" w:eastAsia="Arial"/>
      <w:i/>
      <w:iCs/>
      <w:sz w:val="22"/>
      <w:szCs w:val="22"/>
    </w:rPr>
  </w:style>
  <w:style w:type="character" w:styleId="812" w:customStyle="1">
    <w:name w:val="Heading 9 Char"/>
    <w:basedOn w:val="688"/>
    <w:link w:val="860"/>
    <w:uiPriority w:val="9"/>
    <w:rPr>
      <w:rFonts w:ascii="Arial" w:hAnsi="Arial" w:cs="Arial" w:eastAsia="Arial"/>
      <w:i/>
      <w:iCs/>
      <w:sz w:val="21"/>
      <w:szCs w:val="21"/>
    </w:rPr>
  </w:style>
  <w:style w:type="character" w:styleId="813" w:customStyle="1">
    <w:name w:val="Title Char"/>
    <w:basedOn w:val="688"/>
    <w:link w:val="872"/>
    <w:uiPriority w:val="10"/>
    <w:rPr>
      <w:sz w:val="48"/>
      <w:szCs w:val="48"/>
    </w:rPr>
  </w:style>
  <w:style w:type="character" w:styleId="814" w:customStyle="1">
    <w:name w:val="Subtitle Char"/>
    <w:basedOn w:val="688"/>
    <w:link w:val="874"/>
    <w:uiPriority w:val="11"/>
    <w:rPr>
      <w:sz w:val="24"/>
      <w:szCs w:val="24"/>
    </w:rPr>
  </w:style>
  <w:style w:type="character" w:styleId="815" w:customStyle="1">
    <w:name w:val="Quote Char"/>
    <w:link w:val="879"/>
    <w:uiPriority w:val="29"/>
    <w:rPr>
      <w:i/>
    </w:rPr>
  </w:style>
  <w:style w:type="character" w:styleId="816" w:customStyle="1">
    <w:name w:val="Intense Quote Char"/>
    <w:link w:val="881"/>
    <w:uiPriority w:val="30"/>
    <w:rPr>
      <w:i/>
    </w:rPr>
  </w:style>
  <w:style w:type="character" w:styleId="817" w:customStyle="1">
    <w:name w:val="Header Char"/>
    <w:basedOn w:val="688"/>
    <w:link w:val="890"/>
    <w:uiPriority w:val="99"/>
  </w:style>
  <w:style w:type="character" w:styleId="818" w:customStyle="1">
    <w:name w:val="Footer Char"/>
    <w:basedOn w:val="688"/>
    <w:link w:val="892"/>
    <w:uiPriority w:val="99"/>
  </w:style>
  <w:style w:type="table" w:styleId="819" w:customStyle="1">
    <w:name w:val="Lined"/>
    <w:basedOn w:val="68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0" w:customStyle="1">
    <w:name w:val="Lined - Accent 1"/>
    <w:basedOn w:val="68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1" w:customStyle="1">
    <w:name w:val="Lined - Accent 2"/>
    <w:basedOn w:val="68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2" w:customStyle="1">
    <w:name w:val="Lined - Accent 3"/>
    <w:basedOn w:val="68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3" w:customStyle="1">
    <w:name w:val="Lined - Accent 4"/>
    <w:basedOn w:val="68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4" w:customStyle="1">
    <w:name w:val="Lined - Accent 5"/>
    <w:basedOn w:val="68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5" w:customStyle="1">
    <w:name w:val="Lined - Accent 6"/>
    <w:basedOn w:val="68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6" w:customStyle="1">
    <w:name w:val="Bordered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7" w:customStyle="1">
    <w:name w:val="Bordered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8" w:customStyle="1">
    <w:name w:val="Bordered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9" w:customStyle="1">
    <w:name w:val="Bordered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0" w:customStyle="1">
    <w:name w:val="Bordered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1" w:customStyle="1">
    <w:name w:val="Bordered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2" w:customStyle="1">
    <w:name w:val="Bordered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3" w:customStyle="1">
    <w:name w:val="Bordered &amp; Lined"/>
    <w:basedOn w:val="68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Bordered &amp; Lined - Accent 1"/>
    <w:basedOn w:val="68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5" w:customStyle="1">
    <w:name w:val="Bordered &amp; Lined - Accent 2"/>
    <w:basedOn w:val="68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6" w:customStyle="1">
    <w:name w:val="Bordered &amp; Lined - Accent 3"/>
    <w:basedOn w:val="68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7" w:customStyle="1">
    <w:name w:val="Bordered &amp; Lined - Accent 4"/>
    <w:basedOn w:val="68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8" w:customStyle="1">
    <w:name w:val="Bordered &amp; Lined - Accent 5"/>
    <w:basedOn w:val="68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9" w:customStyle="1">
    <w:name w:val="Bordered &amp; Lined - Accent 6"/>
    <w:basedOn w:val="68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840">
    <w:name w:val="footnote text"/>
    <w:basedOn w:val="687"/>
    <w:link w:val="841"/>
    <w:uiPriority w:val="99"/>
    <w:semiHidden/>
    <w:unhideWhenUsed/>
    <w:rPr>
      <w:sz w:val="18"/>
    </w:rPr>
    <w:pPr>
      <w:spacing w:after="40"/>
    </w:pPr>
  </w:style>
  <w:style w:type="character" w:styleId="841" w:customStyle="1">
    <w:name w:val="Текст сноски Знак"/>
    <w:link w:val="840"/>
    <w:uiPriority w:val="99"/>
    <w:rPr>
      <w:sz w:val="18"/>
    </w:rPr>
  </w:style>
  <w:style w:type="character" w:styleId="842">
    <w:name w:val="footnote reference"/>
    <w:basedOn w:val="688"/>
    <w:uiPriority w:val="99"/>
    <w:unhideWhenUsed/>
    <w:rPr>
      <w:vertAlign w:val="superscript"/>
    </w:rPr>
  </w:style>
  <w:style w:type="paragraph" w:styleId="843">
    <w:name w:val="toc 1"/>
    <w:basedOn w:val="687"/>
    <w:next w:val="687"/>
    <w:uiPriority w:val="39"/>
    <w:unhideWhenUsed/>
    <w:pPr>
      <w:spacing w:after="57"/>
    </w:pPr>
  </w:style>
  <w:style w:type="paragraph" w:styleId="844">
    <w:name w:val="toc 2"/>
    <w:basedOn w:val="687"/>
    <w:next w:val="687"/>
    <w:uiPriority w:val="39"/>
    <w:unhideWhenUsed/>
    <w:pPr>
      <w:ind w:left="283"/>
      <w:spacing w:after="57"/>
    </w:pPr>
  </w:style>
  <w:style w:type="paragraph" w:styleId="845">
    <w:name w:val="toc 3"/>
    <w:basedOn w:val="687"/>
    <w:next w:val="687"/>
    <w:uiPriority w:val="39"/>
    <w:unhideWhenUsed/>
    <w:pPr>
      <w:ind w:left="567"/>
      <w:spacing w:after="57"/>
    </w:pPr>
  </w:style>
  <w:style w:type="paragraph" w:styleId="846">
    <w:name w:val="toc 4"/>
    <w:basedOn w:val="687"/>
    <w:next w:val="687"/>
    <w:uiPriority w:val="39"/>
    <w:unhideWhenUsed/>
    <w:pPr>
      <w:ind w:left="850"/>
      <w:spacing w:after="57"/>
    </w:pPr>
  </w:style>
  <w:style w:type="paragraph" w:styleId="847">
    <w:name w:val="toc 5"/>
    <w:basedOn w:val="687"/>
    <w:next w:val="687"/>
    <w:uiPriority w:val="39"/>
    <w:unhideWhenUsed/>
    <w:pPr>
      <w:ind w:left="1134"/>
      <w:spacing w:after="57"/>
    </w:pPr>
  </w:style>
  <w:style w:type="paragraph" w:styleId="848">
    <w:name w:val="toc 6"/>
    <w:basedOn w:val="687"/>
    <w:next w:val="687"/>
    <w:uiPriority w:val="39"/>
    <w:unhideWhenUsed/>
    <w:pPr>
      <w:ind w:left="1417"/>
      <w:spacing w:after="57"/>
    </w:pPr>
  </w:style>
  <w:style w:type="paragraph" w:styleId="849">
    <w:name w:val="toc 7"/>
    <w:basedOn w:val="687"/>
    <w:next w:val="687"/>
    <w:uiPriority w:val="39"/>
    <w:unhideWhenUsed/>
    <w:pPr>
      <w:ind w:left="1701"/>
      <w:spacing w:after="57"/>
    </w:pPr>
  </w:style>
  <w:style w:type="paragraph" w:styleId="850">
    <w:name w:val="toc 8"/>
    <w:basedOn w:val="687"/>
    <w:next w:val="687"/>
    <w:uiPriority w:val="39"/>
    <w:unhideWhenUsed/>
    <w:pPr>
      <w:ind w:left="1984"/>
      <w:spacing w:after="57"/>
    </w:pPr>
  </w:style>
  <w:style w:type="paragraph" w:styleId="851">
    <w:name w:val="toc 9"/>
    <w:basedOn w:val="687"/>
    <w:next w:val="687"/>
    <w:uiPriority w:val="39"/>
    <w:unhideWhenUsed/>
    <w:pPr>
      <w:ind w:left="2268"/>
      <w:spacing w:after="57"/>
    </w:pPr>
  </w:style>
  <w:style w:type="paragraph" w:styleId="852" w:customStyle="1">
    <w:name w:val="Heading 1"/>
    <w:basedOn w:val="687"/>
    <w:next w:val="687"/>
    <w:link w:val="863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853" w:customStyle="1">
    <w:name w:val="Heading 2"/>
    <w:basedOn w:val="687"/>
    <w:next w:val="687"/>
    <w:link w:val="864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854" w:customStyle="1">
    <w:name w:val="Heading 3"/>
    <w:basedOn w:val="687"/>
    <w:next w:val="687"/>
    <w:link w:val="865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855" w:customStyle="1">
    <w:name w:val="Heading 4"/>
    <w:basedOn w:val="687"/>
    <w:next w:val="687"/>
    <w:link w:val="866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856" w:customStyle="1">
    <w:name w:val="Heading 5"/>
    <w:basedOn w:val="687"/>
    <w:next w:val="687"/>
    <w:link w:val="867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857" w:customStyle="1">
    <w:name w:val="Heading 6"/>
    <w:basedOn w:val="687"/>
    <w:next w:val="687"/>
    <w:link w:val="868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858" w:customStyle="1">
    <w:name w:val="Heading 7"/>
    <w:basedOn w:val="687"/>
    <w:next w:val="687"/>
    <w:link w:val="869"/>
    <w:qFormat/>
    <w:uiPriority w:val="9"/>
    <w:semiHidden/>
    <w:unhideWhenUsed/>
    <w:pPr>
      <w:spacing w:after="60" w:before="240"/>
      <w:outlineLvl w:val="6"/>
    </w:pPr>
  </w:style>
  <w:style w:type="paragraph" w:styleId="859" w:customStyle="1">
    <w:name w:val="Heading 8"/>
    <w:basedOn w:val="687"/>
    <w:next w:val="687"/>
    <w:link w:val="870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860" w:customStyle="1">
    <w:name w:val="Heading 9"/>
    <w:basedOn w:val="687"/>
    <w:next w:val="687"/>
    <w:link w:val="871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paragraph" w:styleId="861">
    <w:name w:val="List Paragraph"/>
    <w:basedOn w:val="687"/>
    <w:qFormat/>
    <w:uiPriority w:val="34"/>
    <w:pPr>
      <w:contextualSpacing w:val="true"/>
      <w:ind w:left="720"/>
    </w:pPr>
  </w:style>
  <w:style w:type="table" w:styleId="862">
    <w:name w:val="Table Grid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3" w:customStyle="1">
    <w:name w:val="Заголовок 1 Знак"/>
    <w:basedOn w:val="688"/>
    <w:link w:val="852"/>
    <w:uiPriority w:val="9"/>
    <w:rPr>
      <w:rFonts w:ascii="Cambria" w:hAnsi="Cambria" w:eastAsia="Cambria"/>
      <w:b/>
      <w:bCs/>
      <w:sz w:val="32"/>
      <w:szCs w:val="32"/>
    </w:rPr>
  </w:style>
  <w:style w:type="character" w:styleId="864" w:customStyle="1">
    <w:name w:val="Заголовок 2 Знак"/>
    <w:basedOn w:val="688"/>
    <w:link w:val="853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865" w:customStyle="1">
    <w:name w:val="Заголовок 3 Знак"/>
    <w:basedOn w:val="688"/>
    <w:link w:val="854"/>
    <w:uiPriority w:val="9"/>
    <w:rPr>
      <w:rFonts w:ascii="Cambria" w:hAnsi="Cambria" w:eastAsia="Cambria"/>
      <w:b/>
      <w:bCs/>
      <w:sz w:val="26"/>
      <w:szCs w:val="26"/>
    </w:rPr>
  </w:style>
  <w:style w:type="character" w:styleId="866" w:customStyle="1">
    <w:name w:val="Заголовок 4 Знак"/>
    <w:basedOn w:val="688"/>
    <w:link w:val="855"/>
    <w:uiPriority w:val="9"/>
    <w:rPr>
      <w:b/>
      <w:bCs/>
      <w:sz w:val="28"/>
      <w:szCs w:val="28"/>
    </w:rPr>
  </w:style>
  <w:style w:type="character" w:styleId="867" w:customStyle="1">
    <w:name w:val="Заголовок 5 Знак"/>
    <w:basedOn w:val="688"/>
    <w:link w:val="856"/>
    <w:uiPriority w:val="9"/>
    <w:semiHidden/>
    <w:rPr>
      <w:b/>
      <w:bCs/>
      <w:i/>
      <w:iCs/>
      <w:sz w:val="26"/>
      <w:szCs w:val="26"/>
    </w:rPr>
  </w:style>
  <w:style w:type="character" w:styleId="868" w:customStyle="1">
    <w:name w:val="Заголовок 6 Знак"/>
    <w:basedOn w:val="688"/>
    <w:link w:val="857"/>
    <w:uiPriority w:val="9"/>
    <w:semiHidden/>
    <w:rPr>
      <w:b/>
      <w:bCs/>
    </w:rPr>
  </w:style>
  <w:style w:type="character" w:styleId="869" w:customStyle="1">
    <w:name w:val="Заголовок 7 Знак"/>
    <w:basedOn w:val="688"/>
    <w:link w:val="858"/>
    <w:uiPriority w:val="9"/>
    <w:semiHidden/>
    <w:rPr>
      <w:sz w:val="24"/>
      <w:szCs w:val="24"/>
    </w:rPr>
  </w:style>
  <w:style w:type="character" w:styleId="870" w:customStyle="1">
    <w:name w:val="Заголовок 8 Знак"/>
    <w:basedOn w:val="688"/>
    <w:link w:val="859"/>
    <w:uiPriority w:val="9"/>
    <w:semiHidden/>
    <w:rPr>
      <w:i/>
      <w:iCs/>
      <w:sz w:val="24"/>
      <w:szCs w:val="24"/>
    </w:rPr>
  </w:style>
  <w:style w:type="character" w:styleId="871" w:customStyle="1">
    <w:name w:val="Заголовок 9 Знак"/>
    <w:basedOn w:val="688"/>
    <w:link w:val="860"/>
    <w:uiPriority w:val="9"/>
    <w:semiHidden/>
    <w:rPr>
      <w:rFonts w:ascii="Cambria" w:hAnsi="Cambria" w:eastAsia="Cambria"/>
    </w:rPr>
  </w:style>
  <w:style w:type="paragraph" w:styleId="872">
    <w:name w:val="Title"/>
    <w:basedOn w:val="687"/>
    <w:next w:val="687"/>
    <w:link w:val="873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873" w:customStyle="1">
    <w:name w:val="Название Знак"/>
    <w:basedOn w:val="688"/>
    <w:link w:val="872"/>
    <w:uiPriority w:val="10"/>
    <w:rPr>
      <w:rFonts w:ascii="Cambria" w:hAnsi="Cambria" w:eastAsia="Cambria"/>
      <w:b/>
      <w:bCs/>
      <w:sz w:val="32"/>
      <w:szCs w:val="32"/>
    </w:rPr>
  </w:style>
  <w:style w:type="paragraph" w:styleId="874">
    <w:name w:val="Subtitle"/>
    <w:basedOn w:val="687"/>
    <w:next w:val="687"/>
    <w:link w:val="875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875" w:customStyle="1">
    <w:name w:val="Подзаголовок Знак"/>
    <w:basedOn w:val="688"/>
    <w:link w:val="874"/>
    <w:uiPriority w:val="11"/>
    <w:rPr>
      <w:rFonts w:ascii="Cambria" w:hAnsi="Cambria" w:eastAsia="Cambria"/>
      <w:sz w:val="24"/>
      <w:szCs w:val="24"/>
    </w:rPr>
  </w:style>
  <w:style w:type="character" w:styleId="876">
    <w:name w:val="Strong"/>
    <w:basedOn w:val="688"/>
    <w:qFormat/>
    <w:uiPriority w:val="22"/>
    <w:rPr>
      <w:b/>
      <w:bCs/>
    </w:rPr>
  </w:style>
  <w:style w:type="character" w:styleId="877">
    <w:name w:val="Emphasis"/>
    <w:basedOn w:val="688"/>
    <w:qFormat/>
    <w:uiPriority w:val="20"/>
    <w:rPr>
      <w:rFonts w:ascii="Calibri" w:hAnsi="Calibri"/>
      <w:b/>
      <w:i/>
      <w:iCs/>
    </w:rPr>
  </w:style>
  <w:style w:type="paragraph" w:styleId="878">
    <w:name w:val="No Spacing"/>
    <w:basedOn w:val="687"/>
    <w:qFormat/>
    <w:uiPriority w:val="1"/>
    <w:rPr>
      <w:sz w:val="32"/>
      <w:szCs w:val="32"/>
    </w:rPr>
  </w:style>
  <w:style w:type="paragraph" w:styleId="879">
    <w:name w:val="Quote"/>
    <w:basedOn w:val="687"/>
    <w:next w:val="687"/>
    <w:link w:val="880"/>
    <w:qFormat/>
    <w:uiPriority w:val="29"/>
    <w:rPr>
      <w:i/>
    </w:rPr>
  </w:style>
  <w:style w:type="character" w:styleId="880" w:customStyle="1">
    <w:name w:val="Цитата 2 Знак"/>
    <w:basedOn w:val="688"/>
    <w:link w:val="879"/>
    <w:uiPriority w:val="29"/>
    <w:rPr>
      <w:i/>
      <w:sz w:val="24"/>
      <w:szCs w:val="24"/>
    </w:rPr>
  </w:style>
  <w:style w:type="paragraph" w:styleId="881">
    <w:name w:val="Intense Quote"/>
    <w:basedOn w:val="687"/>
    <w:next w:val="687"/>
    <w:link w:val="882"/>
    <w:qFormat/>
    <w:uiPriority w:val="30"/>
    <w:rPr>
      <w:b/>
      <w:i/>
      <w:sz w:val="22"/>
      <w:szCs w:val="22"/>
    </w:rPr>
    <w:pPr>
      <w:ind w:left="720" w:right="720"/>
    </w:pPr>
  </w:style>
  <w:style w:type="character" w:styleId="882" w:customStyle="1">
    <w:name w:val="Выделенная цитата Знак"/>
    <w:basedOn w:val="688"/>
    <w:link w:val="881"/>
    <w:uiPriority w:val="30"/>
    <w:rPr>
      <w:b/>
      <w:i/>
      <w:sz w:val="24"/>
    </w:rPr>
  </w:style>
  <w:style w:type="character" w:styleId="883">
    <w:name w:val="Subtle Emphasis"/>
    <w:qFormat/>
    <w:uiPriority w:val="19"/>
    <w:rPr>
      <w:i/>
      <w:color w:val="5A5A5A" w:themeColor="text1" w:themeTint="A5"/>
    </w:rPr>
  </w:style>
  <w:style w:type="character" w:styleId="884">
    <w:name w:val="Intense Emphasis"/>
    <w:basedOn w:val="688"/>
    <w:qFormat/>
    <w:uiPriority w:val="21"/>
    <w:rPr>
      <w:b/>
      <w:i/>
      <w:sz w:val="24"/>
      <w:szCs w:val="24"/>
      <w:u w:val="single"/>
    </w:rPr>
  </w:style>
  <w:style w:type="character" w:styleId="885">
    <w:name w:val="Subtle Reference"/>
    <w:basedOn w:val="688"/>
    <w:qFormat/>
    <w:uiPriority w:val="31"/>
    <w:rPr>
      <w:sz w:val="24"/>
      <w:szCs w:val="24"/>
      <w:u w:val="single"/>
    </w:rPr>
  </w:style>
  <w:style w:type="character" w:styleId="886">
    <w:name w:val="Intense Reference"/>
    <w:basedOn w:val="688"/>
    <w:qFormat/>
    <w:uiPriority w:val="32"/>
    <w:rPr>
      <w:b/>
      <w:sz w:val="24"/>
      <w:u w:val="single"/>
    </w:rPr>
  </w:style>
  <w:style w:type="character" w:styleId="887">
    <w:name w:val="Book Title"/>
    <w:basedOn w:val="688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888">
    <w:name w:val="TOC Heading"/>
    <w:basedOn w:val="852"/>
    <w:next w:val="687"/>
    <w:qFormat/>
    <w:uiPriority w:val="39"/>
    <w:semiHidden/>
    <w:unhideWhenUsed/>
    <w:pPr>
      <w:outlineLvl w:val="9"/>
    </w:pPr>
  </w:style>
  <w:style w:type="paragraph" w:styleId="889" w:customStyle="1">
    <w:name w:val="rvps2"/>
    <w:basedOn w:val="687"/>
    <w:rPr>
      <w:rFonts w:ascii="Times New Roman" w:hAnsi="Times New Roman" w:eastAsia="Times New Roman"/>
      <w:lang w:val="ru-RU" w:bidi="ar-SA" w:eastAsia="ru-RU"/>
    </w:rPr>
    <w:pPr>
      <w:spacing w:after="100" w:afterAutospacing="1" w:before="100" w:beforeAutospacing="1"/>
    </w:pPr>
  </w:style>
  <w:style w:type="paragraph" w:styleId="890" w:customStyle="1">
    <w:name w:val="Header"/>
    <w:basedOn w:val="687"/>
    <w:link w:val="89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1" w:customStyle="1">
    <w:name w:val="Верхний колонтитул Знак"/>
    <w:basedOn w:val="688"/>
    <w:link w:val="890"/>
    <w:uiPriority w:val="99"/>
    <w:semiHidden/>
    <w:rPr>
      <w:sz w:val="24"/>
      <w:szCs w:val="24"/>
    </w:rPr>
  </w:style>
  <w:style w:type="paragraph" w:styleId="892" w:customStyle="1">
    <w:name w:val="Footer"/>
    <w:basedOn w:val="687"/>
    <w:link w:val="89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3" w:customStyle="1">
    <w:name w:val="Нижний колонтитул Знак"/>
    <w:basedOn w:val="688"/>
    <w:link w:val="892"/>
    <w:uiPriority w:val="99"/>
    <w:rPr>
      <w:sz w:val="24"/>
      <w:szCs w:val="24"/>
    </w:rPr>
  </w:style>
  <w:style w:type="paragraph" w:styleId="894">
    <w:name w:val="Balloon Text"/>
    <w:basedOn w:val="687"/>
    <w:link w:val="895"/>
    <w:uiPriority w:val="99"/>
    <w:semiHidden/>
    <w:unhideWhenUsed/>
    <w:rPr>
      <w:rFonts w:ascii="Tahoma" w:hAnsi="Tahoma" w:cs="Tahoma"/>
      <w:sz w:val="16"/>
      <w:szCs w:val="16"/>
    </w:rPr>
  </w:style>
  <w:style w:type="character" w:styleId="895" w:customStyle="1">
    <w:name w:val="Текст выноски Знак"/>
    <w:basedOn w:val="688"/>
    <w:link w:val="894"/>
    <w:uiPriority w:val="99"/>
    <w:semiHidden/>
    <w:rPr>
      <w:rFonts w:ascii="Tahoma" w:hAnsi="Tahoma" w:cs="Tahoma"/>
      <w:sz w:val="16"/>
      <w:szCs w:val="16"/>
    </w:rPr>
  </w:style>
  <w:style w:type="character" w:styleId="896">
    <w:name w:val="Hyperlink"/>
    <w:basedOn w:val="688"/>
    <w:uiPriority w:val="99"/>
    <w:semiHidden/>
    <w:unhideWhenUsed/>
    <w:rPr>
      <w:color w:val="0000FF"/>
      <w:u w:val="single"/>
    </w:rPr>
  </w:style>
  <w:style w:type="paragraph" w:styleId="897" w:customStyle="1">
    <w:name w:val="Обычный1"/>
    <w:rPr>
      <w:rFonts w:ascii="Times New Roman" w:hAnsi="Times New Roman" w:eastAsia="Times New Roman"/>
      <w:sz w:val="20"/>
      <w:szCs w:val="20"/>
      <w:lang w:val="ru-RU" w:bidi="ar-SA" w:eastAsia="zh-CN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hyperlink" Target="https://uk.wikipedia.org/wiki/%D0%86%D0%B4%D0%B5%D0%BD%D1%82%D0%B8%D1%84%D1%96%D0%BA%D0%B0%D1%86%D1%96%D0%B9%D0%BD%D0%B8%D0%B9_%D0%BD%D0%BE%D0%BC%D0%B5%D1%80_%D1%84%D1%96%D0%B7%D0%B8%D1%87%D0%BD%D0%BE%D1%97_%D0%BE%D1%81%D0%BE%D0%B1%D0%B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Карпенко Олександр Петрович</cp:lastModifiedBy>
  <cp:revision>17</cp:revision>
  <dcterms:created xsi:type="dcterms:W3CDTF">2021-11-05T07:37:00Z</dcterms:created>
  <dcterms:modified xsi:type="dcterms:W3CDTF">2023-12-22T06:25:48Z</dcterms:modified>
</cp:coreProperties>
</file>