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206" w:firstLine="0"/>
        <w:rPr>
          <w:b/>
          <w:color w:val="auto"/>
          <w:sz w:val="20"/>
        </w:rPr>
      </w:pPr>
      <w:r>
        <w:rPr>
          <w:color w:val="auto"/>
          <w:sz w:val="20"/>
        </w:rPr>
        <w:t xml:space="preserve">Додаток 2 до рішення 43 сесії Менської міської ради 8 скликання 22 грудня 2023 року №____</w:t>
      </w:r>
      <w:r>
        <w:rPr>
          <w:b/>
          <w:color w:val="auto"/>
          <w:sz w:val="20"/>
        </w:rPr>
        <w:t xml:space="preserve"> </w:t>
      </w:r>
      <w:r>
        <w:rPr>
          <w:sz w:val="20"/>
        </w:rPr>
      </w:r>
      <w:r/>
    </w:p>
    <w:p>
      <w:pPr>
        <w:pStyle w:val="675"/>
        <w:rPr>
          <w:rFonts w:cs="Times New Roman"/>
          <w:color w:val="auto"/>
        </w:rPr>
      </w:pPr>
      <w:r/>
      <w:bookmarkStart w:id="0" w:name="_Toc10"/>
      <w:r>
        <w:rPr>
          <w:rFonts w:cs="Times New Roman" w:eastAsiaTheme="minorEastAsia"/>
          <w:color w:val="auto"/>
        </w:rPr>
        <w:t xml:space="preserve">IV.ЗАХОДИ ПРОГРАМИ</w:t>
      </w:r>
      <w:bookmarkEnd w:id="0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left="5670" w:firstLine="0"/>
        <w:rPr>
          <w:color w:val="auto"/>
        </w:rPr>
      </w:pPr>
      <w:r>
        <w:rPr>
          <w:rFonts w:eastAsiaTheme="minorEastAsia"/>
          <w:color w:val="auto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713"/>
        <w:numPr>
          <w:ilvl w:val="0"/>
          <w:numId w:val="2"/>
        </w:numPr>
        <w:jc w:val="left"/>
        <w:tabs>
          <w:tab w:val="clear" w:pos="709" w:leader="none"/>
        </w:tabs>
        <w:rPr>
          <w:color w:val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Theme="minorEastAsia"/>
          <w:color w:val="auto"/>
        </w:rPr>
        <w:t xml:space="preserve">Організаційне та методичне забезпечення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0"/>
        <w:tabs>
          <w:tab w:val="clear" w:pos="709" w:leader="none"/>
        </w:tabs>
        <w:rPr>
          <w:color w:val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Theme="minorEastAsia"/>
          <w:color w:val="auto"/>
        </w:rPr>
        <w:t xml:space="preserve">Програмою інформатизації Менської громади передбачається створення необхідних умов та інструментів для успішної реалізації всіх заходів та ініціатив, передбачених цією програмою. Цей розділ спрямований на організаційну підтримку та надання методичних реком</w:t>
      </w:r>
      <w:r>
        <w:rPr>
          <w:rFonts w:eastAsiaTheme="minorEastAsia"/>
          <w:color w:val="auto"/>
        </w:rPr>
        <w:t xml:space="preserve">ендацій для всіх учасників програми, зокрема для органів місцевого самоврядування, адміністрації громади, громадян, та інших зацікавлених сторін.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0"/>
        <w:jc w:val="left"/>
        <w:tabs>
          <w:tab w:val="clear" w:pos="709" w:leader="none"/>
        </w:tabs>
        <w:rPr>
          <w:color w:val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Theme="minorEastAsia"/>
          <w:color w:val="auto"/>
        </w:rPr>
        <w:t xml:space="preserve">Основні завдання та складові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729"/>
        <w:tblW w:w="20118" w:type="dxa"/>
        <w:tblLayout w:type="fixed"/>
        <w:tblLook w:val="04A0" w:firstRow="1" w:lastRow="0" w:firstColumn="1" w:lastColumn="0" w:noHBand="0" w:noVBand="1"/>
      </w:tblPr>
      <w:tblGrid>
        <w:gridCol w:w="3819"/>
        <w:gridCol w:w="2128"/>
        <w:gridCol w:w="1134"/>
        <w:gridCol w:w="1280"/>
        <w:gridCol w:w="743"/>
        <w:gridCol w:w="744"/>
        <w:gridCol w:w="743"/>
        <w:gridCol w:w="744"/>
        <w:gridCol w:w="3261"/>
        <w:gridCol w:w="813"/>
        <w:gridCol w:w="1086"/>
        <w:gridCol w:w="1086"/>
        <w:gridCol w:w="1086"/>
        <w:gridCol w:w="1451"/>
      </w:tblGrid>
      <w:tr>
        <w:trPr>
          <w:gridAfter w:val="5"/>
          <w:trHeight w:val="300"/>
          <w:tblHeader/>
        </w:trPr>
        <w:tc>
          <w:tcPr>
            <w:tcW w:w="3819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Напрями / Завдання</w:t>
            </w:r>
            <w:r/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Відповідальні виконавці завдання (робіт)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Строки виконання</w:t>
            </w:r>
            <w:r/>
          </w:p>
        </w:tc>
        <w:tc>
          <w:tcPr>
            <w:gridSpan w:val="5"/>
            <w:tcW w:w="425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Орієнтовні обсяги фінансування за роками, тис. гривень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Очікувані результати</w:t>
            </w:r>
            <w:r/>
          </w:p>
        </w:tc>
      </w:tr>
      <w:tr>
        <w:trPr>
          <w:gridAfter w:val="5"/>
          <w:trHeight w:val="383"/>
          <w:tblHeader/>
        </w:trPr>
        <w:tc>
          <w:tcPr>
            <w:tcW w:w="3819" w:type="dxa"/>
            <w:vMerge w:val="continue"/>
            <w:textDirection w:val="lrTb"/>
            <w:noWrap w:val="false"/>
          </w:tcPr>
          <w:p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128" w:type="dxa"/>
            <w:vMerge w:val="continue"/>
            <w:textDirection w:val="lrTb"/>
            <w:noWrap w:val="false"/>
          </w:tcPr>
          <w:p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Джерела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2022 рік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2023 рік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2024 рік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 xml:space="preserve">Усього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>
          <w:gridAfter w:val="5"/>
          <w:trHeight w:val="315"/>
        </w:trPr>
        <w:tc>
          <w:tcPr>
            <w:gridSpan w:val="9"/>
            <w:tcW w:w="14596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1. </w:t>
            </w:r>
            <w:r>
              <w:rPr>
                <w:bCs/>
                <w:color w:val="auto"/>
                <w:sz w:val="20"/>
                <w:szCs w:val="20"/>
              </w:rPr>
              <w:t xml:space="preserve">Організаційне та методичне забезпечення </w:t>
            </w:r>
            <w:r/>
          </w:p>
        </w:tc>
      </w:tr>
      <w:tr>
        <w:trPr>
          <w:gridAfter w:val="5"/>
          <w:trHeight w:val="1020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1.1. </w:t>
            </w:r>
            <w:r>
              <w:rPr>
                <w:color w:val="auto"/>
                <w:sz w:val="20"/>
                <w:szCs w:val="20"/>
              </w:rPr>
              <w:t xml:space="preserve">інвентаризація інформаційних, програмно-технічних та цифрових ресурсів громади з урахуванням вимог діючих державних нормативно-правових актів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бухгалтерського обліку та звітності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Щорічно в кінці року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Не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Здійснення щорічної інвентаризації інформаційних, програмно-технічних та цифрових ресурсів громади</w:t>
            </w:r>
            <w:r/>
          </w:p>
        </w:tc>
      </w:tr>
      <w:tr>
        <w:trPr>
          <w:gridAfter w:val="5"/>
          <w:trHeight w:val="27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1.2 </w:t>
            </w:r>
            <w:r>
              <w:rPr>
                <w:color w:val="auto"/>
                <w:sz w:val="20"/>
                <w:szCs w:val="20"/>
              </w:rPr>
              <w:t xml:space="preserve">проведення щорічного оцінювання електронної та цифрової готовності громади за визначеними показниками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Не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</w:t>
            </w:r>
            <w:r>
              <w:rPr>
                <w:color w:val="auto"/>
                <w:sz w:val="20"/>
                <w:szCs w:val="20"/>
              </w:rPr>
              <w:t xml:space="preserve">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Здійснення щорічного моніторингу оцінювання електронної та цифрової готовності громади</w:t>
            </w:r>
            <w:r/>
          </w:p>
        </w:tc>
      </w:tr>
      <w:tr>
        <w:trPr>
          <w:gridAfter w:val="5"/>
          <w:trHeight w:val="194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1.3. </w:t>
            </w:r>
            <w:r>
              <w:rPr>
                <w:color w:val="auto"/>
                <w:sz w:val="20"/>
                <w:szCs w:val="20"/>
              </w:rPr>
              <w:t xml:space="preserve">розробка нормативно-правових та технічних документів, </w:t>
            </w:r>
            <w:r>
              <w:rPr>
                <w:color w:val="auto"/>
                <w:sz w:val="20"/>
                <w:szCs w:val="20"/>
              </w:rPr>
              <w:t xml:space="preserve">методичних рекомендацій у міській  раді щодо організації виконання завдань Програми, впровадження, адміністрування інформаційних систем, програмно-технічних комплексів, засобів інформатизації, механізмів інтеграції </w:t>
            </w:r>
            <w:r>
              <w:rPr>
                <w:color w:val="auto"/>
                <w:sz w:val="20"/>
                <w:szCs w:val="20"/>
              </w:rPr>
              <w:t xml:space="preserve">систем, організації захисту інформації в </w:t>
            </w:r>
            <w:r>
              <w:rPr>
                <w:color w:val="auto"/>
                <w:sz w:val="20"/>
                <w:szCs w:val="20"/>
              </w:rPr>
              <w:t xml:space="preserve">комунікаційних системах 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трансформацій, виконавчі органи, виконавці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Протягом 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Розроблення нормативно-правових  та технічних до</w:t>
            </w:r>
            <w:r>
              <w:rPr>
                <w:color w:val="auto"/>
                <w:sz w:val="20"/>
                <w:szCs w:val="20"/>
              </w:rPr>
              <w:t xml:space="preserve">кументів для забезпечення виконання завдань Програми інформатизації та цифрових трансформацій у Менській міській територіальній громаді </w:t>
            </w:r>
            <w:r/>
          </w:p>
        </w:tc>
      </w:tr>
      <w:tr>
        <w:trPr>
          <w:gridAfter w:val="5"/>
          <w:trHeight w:val="415"/>
        </w:trPr>
        <w:tc>
          <w:tcPr>
            <w:gridSpan w:val="9"/>
            <w:tcW w:w="14596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створенні надійної та сучасної інформаційно-комунікаційної інфраструктури для оптимізації роботи міської ради, поліпшення надання громадських послуг та забезпечення зручного спілкування з громадянами.</w:t>
            </w:r>
            <w:r/>
          </w:p>
        </w:tc>
      </w:tr>
      <w:tr>
        <w:trPr>
          <w:gridAfter w:val="5"/>
          <w:trHeight w:val="336"/>
        </w:trPr>
        <w:tc>
          <w:tcPr>
            <w:gridSpan w:val="9"/>
            <w:tcW w:w="14596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2. </w:t>
            </w:r>
            <w:r>
              <w:rPr>
                <w:color w:val="auto"/>
                <w:sz w:val="20"/>
                <w:szCs w:val="20"/>
              </w:rPr>
              <w:t xml:space="preserve">Забезпечення функціонування та подальший розвиток і</w:t>
            </w:r>
            <w:r>
              <w:rPr>
                <w:color w:val="auto"/>
                <w:sz w:val="20"/>
                <w:szCs w:val="20"/>
              </w:rPr>
              <w:t xml:space="preserve">нформаційно-комунікаційного середовища міської ради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tabs>
                <w:tab w:val="left" w:pos="99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П</w:t>
            </w:r>
            <w:r>
              <w:rPr>
                <w:sz w:val="20"/>
                <w:szCs w:val="20"/>
              </w:rPr>
              <w:t xml:space="preserve">ридбання (тех</w:t>
            </w:r>
            <w:r>
              <w:rPr>
                <w:sz w:val="20"/>
                <w:szCs w:val="20"/>
              </w:rPr>
              <w:t xml:space="preserve">нічна </w:t>
            </w:r>
            <w:r>
              <w:rPr>
                <w:sz w:val="20"/>
                <w:szCs w:val="20"/>
              </w:rPr>
              <w:t xml:space="preserve">підтримка, послуги з обслуговування, модернізація) комп’ютерного, офісного, серверного та мережевого обладнання та устаткування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бухгалтерського обліку та звітності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Виконавці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900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Планується закупка персональних комп’ютерів, ноутбуків (10-15 од.), та до 30 джерел </w:t>
            </w:r>
            <w:r>
              <w:rPr>
                <w:color w:val="auto"/>
                <w:sz w:val="20"/>
                <w:szCs w:val="20"/>
              </w:rPr>
              <w:t xml:space="preserve">безперебійного</w:t>
            </w:r>
            <w:r>
              <w:rPr>
                <w:color w:val="auto"/>
                <w:sz w:val="20"/>
                <w:szCs w:val="20"/>
              </w:rPr>
              <w:t xml:space="preserve"> живлення та забезпечено </w:t>
            </w:r>
            <w:r>
              <w:rPr>
                <w:color w:val="auto"/>
                <w:sz w:val="20"/>
                <w:szCs w:val="20"/>
              </w:rPr>
              <w:t xml:space="preserve">техпідтримку</w:t>
            </w:r>
            <w:r>
              <w:rPr>
                <w:color w:val="auto"/>
                <w:sz w:val="20"/>
                <w:szCs w:val="20"/>
              </w:rPr>
              <w:t xml:space="preserve"> та модернізацію </w:t>
            </w:r>
            <w:r>
              <w:rPr>
                <w:color w:val="auto"/>
                <w:sz w:val="20"/>
                <w:szCs w:val="20"/>
              </w:rPr>
              <w:t xml:space="preserve">серверного та мережевого обладнання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tabs>
                <w:tab w:val="left" w:pos="99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Придбання ліцензійного ПЗ та застосування ПЗ з відкритим кодом, в </w:t>
            </w:r>
            <w:r>
              <w:rPr>
                <w:sz w:val="20"/>
                <w:szCs w:val="20"/>
              </w:rPr>
              <w:t xml:space="preserve">т.ч</w:t>
            </w:r>
            <w:r>
              <w:rPr>
                <w:sz w:val="20"/>
                <w:szCs w:val="20"/>
              </w:rPr>
              <w:t xml:space="preserve">. операційних систем, антивірусів та офісних додатків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бухгалтерського обліку та звітності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Виконавці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</w:t>
            </w:r>
            <w:r>
              <w:rPr>
                <w:color w:val="auto"/>
                <w:sz w:val="20"/>
                <w:szCs w:val="20"/>
              </w:rPr>
              <w:t xml:space="preserve">закондовством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620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Забезпечення максимальної кількості ПК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ліцензійним ПЗ (операційні системи та пакети офісного ПЗ) та впроваджене офісне ПЗ з відкритим кодом, чим забезпечено дотримання норм ЗУ «Про а</w:t>
            </w:r>
            <w:r>
              <w:rPr>
                <w:color w:val="auto"/>
                <w:sz w:val="20"/>
                <w:szCs w:val="20"/>
              </w:rPr>
              <w:t xml:space="preserve">вторське право і суміжні права»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2.3. Модернізація та забезпечення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pacing w:val="2"/>
                <w:sz w:val="20"/>
                <w:szCs w:val="20"/>
                <w:shd w:val="clear" w:fill="FFFFFF" w:color="auto"/>
              </w:rPr>
              <w:t xml:space="preserve">апаратно-програмними засобами захисту мережі міської ради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бухгалтерського обліку та звітності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fill="auto" w:color="auto"/>
            <w:tcW w:w="3261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Підвищення рівня захисту та модернізація локальних мереж, впровадження засобів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pacing w:val="2"/>
                <w:sz w:val="20"/>
                <w:szCs w:val="20"/>
                <w:shd w:val="clear" w:fill="FFFFFF" w:color="auto"/>
              </w:rPr>
              <w:t xml:space="preserve">апаратно-програмного захисту мережі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2.4. Розвиток телекомунікаційних сервісів, забезпечення серверним та телекомунікаційним обладнанням;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</w:t>
            </w:r>
            <w:r>
              <w:rPr>
                <w:color w:val="auto"/>
                <w:sz w:val="20"/>
                <w:szCs w:val="20"/>
              </w:rPr>
              <w:t xml:space="preserve">закондовством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 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150 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fill="auto" w:color="auto"/>
            <w:tcW w:w="3261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Підвищення ефективності роботи, стабільне функціонування та доступність серверів, підвищення доступності громадських послуг, забезпечення безпеки та конфіденційності даних, </w:t>
            </w:r>
            <w:r>
              <w:rPr>
                <w:color w:val="auto"/>
                <w:sz w:val="20"/>
                <w:szCs w:val="20"/>
              </w:rPr>
              <w:t xml:space="preserve">покращенняя</w:t>
            </w:r>
            <w:r>
              <w:rPr>
                <w:color w:val="auto"/>
                <w:sz w:val="20"/>
                <w:szCs w:val="20"/>
              </w:rPr>
              <w:t xml:space="preserve"> адміністрування та технічної підтримки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2.5. Забезпечення покриття фіксованим широкосмуговим доступом до мережі інтернет на основі сучасних телекомунікаційних технологій: оптоволоконні мережі, локальні мережі;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Оператори мобільного зв’язку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</w:t>
            </w:r>
            <w:r>
              <w:rPr>
                <w:color w:val="auto"/>
                <w:sz w:val="20"/>
                <w:szCs w:val="20"/>
              </w:rPr>
              <w:t xml:space="preserve">закондовством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 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 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 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W w:w="3261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Швидкий та стабільний інтернет, збільшення покриття покращення громадських послуг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2.6. Сприяння покриттю мобільним широкосмуговим доступом до мережі інтернет: 3G, 4G;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Оператори мобільного зв’язку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</w:t>
            </w:r>
            <w:r>
              <w:rPr>
                <w:color w:val="auto"/>
                <w:sz w:val="20"/>
                <w:szCs w:val="20"/>
              </w:rPr>
              <w:t xml:space="preserve">закондовством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W w:w="3261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Забезпечення мобільними операторами рівномірності покриттю мобільним широкосмуговим доступом до мережі Інтернет (3G, 4G) сприятиме покращенню доступності стійкого та високошвидкісного інтернет-з'єднання для громадян, стимулюванню розвитку мобільних техноло</w:t>
            </w:r>
            <w:r>
              <w:rPr>
                <w:color w:val="auto"/>
                <w:sz w:val="20"/>
                <w:szCs w:val="20"/>
              </w:rPr>
              <w:t xml:space="preserve">гій та поліпшенню зв'язку для громадських послуг та бізнес-ініціатив.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2.7. Р</w:t>
            </w:r>
            <w:r>
              <w:rPr>
                <w:color w:val="auto"/>
                <w:sz w:val="20"/>
                <w:szCs w:val="20"/>
              </w:rPr>
              <w:t xml:space="preserve">озгортання публічних </w:t>
            </w:r>
            <w:r>
              <w:rPr>
                <w:color w:val="auto"/>
                <w:sz w:val="20"/>
                <w:szCs w:val="20"/>
              </w:rPr>
              <w:t xml:space="preserve">WiFi</w:t>
            </w:r>
            <w:r>
              <w:rPr>
                <w:color w:val="auto"/>
                <w:sz w:val="20"/>
                <w:szCs w:val="20"/>
              </w:rPr>
              <w:t xml:space="preserve">-точок доступу до мережі інтернет;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Учасники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</w:t>
            </w:r>
            <w:r>
              <w:rPr>
                <w:color w:val="auto"/>
                <w:sz w:val="20"/>
                <w:szCs w:val="20"/>
              </w:rPr>
              <w:t xml:space="preserve">закондовством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85 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73 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W w:w="3261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Збільшення кількості </w:t>
            </w:r>
            <w:r>
              <w:rPr>
                <w:color w:val="auto"/>
                <w:sz w:val="20"/>
                <w:szCs w:val="20"/>
              </w:rPr>
              <w:t xml:space="preserve">публічних </w:t>
            </w:r>
            <w:r>
              <w:rPr>
                <w:color w:val="auto"/>
                <w:sz w:val="20"/>
                <w:szCs w:val="20"/>
              </w:rPr>
              <w:t xml:space="preserve">WiFi</w:t>
            </w:r>
            <w:r>
              <w:rPr>
                <w:color w:val="auto"/>
                <w:sz w:val="20"/>
                <w:szCs w:val="20"/>
              </w:rPr>
              <w:t xml:space="preserve">-точок доступу до мережі Інтернет сприятиме забезпеченню широкого та безкоштовного доступу до Інтернету для громадян, підвищенню доступності громадських послуг, розвитку цифрового середовища та підтримці громадського життя.</w:t>
            </w:r>
            <w:r/>
          </w:p>
        </w:tc>
      </w:tr>
      <w:tr>
        <w:trPr>
          <w:gridAfter w:val="5"/>
          <w:trHeight w:val="1275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2.8. З</w:t>
            </w:r>
            <w:r>
              <w:rPr>
                <w:color w:val="auto"/>
                <w:sz w:val="20"/>
                <w:szCs w:val="20"/>
              </w:rPr>
              <w:t xml:space="preserve">абезпечення широ</w:t>
            </w:r>
            <w:r>
              <w:rPr>
                <w:color w:val="auto"/>
                <w:sz w:val="20"/>
                <w:szCs w:val="20"/>
              </w:rPr>
              <w:t xml:space="preserve">космуговим доступом до мережі інтернет об`єктів соціальної інфраструктури: заклади освіти, заклади медицини, заклади культури, спортивні об`єкти тощо (видатки передбачаються головними розпорядниками коштів)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Учасники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</w:t>
            </w:r>
            <w:r>
              <w:rPr>
                <w:color w:val="auto"/>
                <w:sz w:val="20"/>
                <w:szCs w:val="20"/>
              </w:rPr>
              <w:t xml:space="preserve"> джерела, не заборонені </w:t>
            </w:r>
            <w:r>
              <w:rPr>
                <w:color w:val="auto"/>
                <w:sz w:val="20"/>
                <w:szCs w:val="20"/>
              </w:rPr>
              <w:t xml:space="preserve">закондовством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W w:w="3261" w:type="dxa"/>
            <w:textDirection w:val="lrTb"/>
            <w:noWrap w:val="false"/>
          </w:tcPr>
          <w:p>
            <w:pPr>
              <w:pStyle w:val="713"/>
              <w:ind w:left="0" w:firstLine="0"/>
              <w:jc w:val="left"/>
              <w:tabs>
                <w:tab w:val="left" w:pos="143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Збільшення кількості забезпечених </w:t>
            </w:r>
            <w:r>
              <w:rPr>
                <w:color w:val="auto"/>
                <w:sz w:val="20"/>
                <w:szCs w:val="20"/>
              </w:rPr>
              <w:t xml:space="preserve">широкосмуговим доступом до мережі Інтернет для об'єктів соціальної інфраструктури, таких як заклади освіти, заклади медицини, заклади культури, спортивні об'єкти, сприятимуть </w:t>
            </w:r>
            <w:r>
              <w:rPr>
                <w:color w:val="auto"/>
                <w:sz w:val="20"/>
                <w:szCs w:val="20"/>
              </w:rPr>
              <w:t xml:space="preserve">поліпшенню навчальних та медичних послуг, розвитку культурного та спортивного жит</w:t>
            </w:r>
            <w:r>
              <w:rPr>
                <w:color w:val="auto"/>
                <w:sz w:val="20"/>
                <w:szCs w:val="20"/>
              </w:rPr>
              <w:t xml:space="preserve">тя, забезпечуючи доступ до інформації та розваг для громадян.</w:t>
            </w:r>
            <w:r/>
          </w:p>
        </w:tc>
      </w:tr>
      <w:tr>
        <w:trPr>
          <w:trHeight w:val="280"/>
        </w:trPr>
        <w:tc>
          <w:tcPr>
            <w:gridSpan w:val="9"/>
            <w:tcW w:w="14596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34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Закупівля обладнання для створення первинного аудіо контенту </w:t>
            </w:r>
            <w:r/>
          </w:p>
        </w:tc>
        <w:tc>
          <w:tcPr>
            <w:tcW w:w="81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34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34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1034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</w:tr>
      <w:tr>
        <w:trPr>
          <w:gridAfter w:val="5"/>
          <w:trHeight w:val="1020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Впровадження та розвиток </w:t>
            </w:r>
            <w:r>
              <w:rPr>
                <w:sz w:val="20"/>
                <w:szCs w:val="20"/>
              </w:rPr>
              <w:t xml:space="preserve">геоінформаційної</w:t>
            </w:r>
            <w:r>
              <w:rPr>
                <w:sz w:val="20"/>
                <w:szCs w:val="20"/>
              </w:rPr>
              <w:t xml:space="preserve"> системи (ГІС)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житлово-комунального господарства, архітектури, містобудування та транспорту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Обласний бюджет, Місцевий бюджет</w:t>
            </w:r>
            <w:r/>
          </w:p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законодавством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 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Впроваджено </w:t>
            </w:r>
            <w:r>
              <w:rPr>
                <w:color w:val="auto"/>
                <w:sz w:val="20"/>
                <w:szCs w:val="20"/>
              </w:rPr>
              <w:t xml:space="preserve">геоінформаційну</w:t>
            </w:r>
            <w:r>
              <w:rPr>
                <w:color w:val="auto"/>
                <w:sz w:val="20"/>
                <w:szCs w:val="20"/>
              </w:rPr>
              <w:t xml:space="preserve"> систему, здійснено наповнення первинними даними та побудовано базові шари.</w:t>
            </w:r>
            <w:r/>
          </w:p>
        </w:tc>
      </w:tr>
      <w:tr>
        <w:trPr>
          <w:gridAfter w:val="5"/>
          <w:trHeight w:val="1020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tabs>
                <w:tab w:val="left" w:pos="17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Оновлення та подальший розвиток системи </w:t>
            </w:r>
            <w:r>
              <w:rPr>
                <w:spacing w:val="2"/>
                <w:sz w:val="20"/>
                <w:szCs w:val="20"/>
                <w:shd w:val="clear" w:fill="F8F9FA" w:color="auto"/>
              </w:rPr>
              <w:t xml:space="preserve">електронного документообігу</w:t>
            </w:r>
            <w:r>
              <w:rPr>
                <w:spacing w:val="2"/>
                <w:sz w:val="20"/>
                <w:szCs w:val="20"/>
                <w:shd w:val="clear" w:fill="F8F9FA" w:color="auto"/>
              </w:rPr>
              <w:t xml:space="preserve"> та оновлення/закупівля ліцензійного програмного забезпечення для роботи в системі</w:t>
            </w:r>
            <w:r>
              <w:rPr>
                <w:spacing w:val="2"/>
                <w:sz w:val="20"/>
                <w:szCs w:val="20"/>
                <w:shd w:val="clear" w:fill="F8F9FA" w:color="auto"/>
              </w:rPr>
              <w:t xml:space="preserve">;</w:t>
            </w:r>
            <w:r/>
          </w:p>
          <w:p>
            <w:pPr>
              <w:pStyle w:val="873"/>
              <w:jc w:val="left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документування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Виконавці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Обласний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Закупівня</w:t>
            </w:r>
            <w:r>
              <w:rPr>
                <w:color w:val="auto"/>
                <w:sz w:val="20"/>
                <w:szCs w:val="20"/>
              </w:rPr>
              <w:t xml:space="preserve"> ліцензійного ONLYOFFICE, налаштування його на сервері, підключення всіх робочих місць працівників міської ради до системи електронного документообігу. </w:t>
            </w:r>
            <w:r/>
          </w:p>
        </w:tc>
      </w:tr>
      <w:tr>
        <w:trPr>
          <w:gridAfter w:val="5"/>
          <w:trHeight w:val="2224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tabs>
                <w:tab w:val="left" w:pos="176" w:leader="none"/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3.3.організація навчання жителів громади цифровим навичкам та навичкам застосування електронних послуг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Цифровий амбасадор, Відділ </w:t>
            </w:r>
            <w:r>
              <w:rPr>
                <w:color w:val="auto"/>
                <w:sz w:val="20"/>
                <w:szCs w:val="20"/>
              </w:rPr>
              <w:t xml:space="preserve">освіти</w:t>
            </w:r>
            <w:r>
              <w:rPr>
                <w:color w:val="auto"/>
                <w:sz w:val="20"/>
                <w:szCs w:val="20"/>
              </w:rPr>
              <w:t xml:space="preserve"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громадські організації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 xml:space="preserve">Менська м</w:t>
            </w:r>
            <w:r>
              <w:rPr>
                <w:color w:val="auto"/>
                <w:sz w:val="20"/>
                <w:szCs w:val="20"/>
              </w:rPr>
              <w:t xml:space="preserve">олодіжна рада,</w:t>
            </w:r>
            <w:r>
              <w:rPr>
                <w:color w:val="auto"/>
                <w:sz w:val="20"/>
                <w:szCs w:val="20"/>
              </w:rPr>
              <w:t xml:space="preserve"> Відділ цифрових трансформацій, інші виконавці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законодавством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Провести 10 </w:t>
            </w:r>
            <w:r>
              <w:rPr>
                <w:color w:val="auto"/>
                <w:sz w:val="20"/>
                <w:szCs w:val="20"/>
              </w:rPr>
              <w:t xml:space="preserve"> навчань для жителів громади, в </w:t>
            </w:r>
            <w:r>
              <w:rPr>
                <w:color w:val="auto"/>
                <w:sz w:val="20"/>
                <w:szCs w:val="20"/>
              </w:rPr>
              <w:t xml:space="preserve">т.ч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для осіб 60+</w:t>
            </w:r>
            <w:r/>
          </w:p>
        </w:tc>
      </w:tr>
      <w:tr>
        <w:trPr>
          <w:gridAfter w:val="5"/>
          <w:trHeight w:val="1634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tabs>
                <w:tab w:val="left" w:pos="176" w:leader="none"/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>
              <w:rPr>
                <w:sz w:val="20"/>
                <w:szCs w:val="20"/>
              </w:rPr>
              <w:t xml:space="preserve">участь у всеукраїнських конференціях, регіональних семінарах, круглих столах, </w:t>
            </w:r>
            <w:r>
              <w:rPr>
                <w:sz w:val="20"/>
                <w:szCs w:val="20"/>
              </w:rPr>
              <w:t xml:space="preserve">відеоконференціях</w:t>
            </w:r>
            <w:r>
              <w:rPr>
                <w:sz w:val="20"/>
                <w:szCs w:val="20"/>
              </w:rPr>
              <w:t xml:space="preserve"> щодо впровадження новітніх інформаційних та цифрових технологі</w:t>
            </w:r>
            <w:r>
              <w:rPr>
                <w:sz w:val="20"/>
                <w:szCs w:val="20"/>
              </w:rPr>
              <w:t xml:space="preserve">й, е-урядування та е-демократії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Структурні підрозділи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законодавством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Керівники структурних підрозділів та галузеві фахівці долучились до участі у профільних заходах з питань впровадження новітніх інформаційних та цифрових технологій, е-урядування та е-демократії</w:t>
            </w:r>
            <w:r/>
          </w:p>
        </w:tc>
      </w:tr>
      <w:tr>
        <w:trPr>
          <w:gridAfter w:val="5"/>
          <w:trHeight w:val="982"/>
        </w:trPr>
        <w:tc>
          <w:tcPr>
            <w:tcW w:w="3819" w:type="dxa"/>
            <w:textDirection w:val="lrTb"/>
            <w:noWrap w:val="false"/>
          </w:tcPr>
          <w:p>
            <w:pPr>
              <w:pStyle w:val="873"/>
              <w:jc w:val="left"/>
              <w:spacing w:after="0" w:afterAutospacing="0" w:before="0" w:beforeAutospacing="0"/>
              <w:tabs>
                <w:tab w:val="left" w:pos="176" w:leader="none"/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запровадження нових цифрових технологій у галузі культури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культури і туризму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джерела, не заборонені законодавством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Встановлення е-кіоску в історичному музеї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Запровадження е-карток читачів  та е-каталогів у бібліотеці, створення 3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D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-</w:t>
            </w:r>
            <w:r>
              <w:rPr>
                <w:color w:val="auto"/>
                <w:sz w:val="20"/>
                <w:szCs w:val="20"/>
              </w:rPr>
              <w:t xml:space="preserve">екскурсійних маршрутів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Встановлення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QR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-</w:t>
            </w:r>
            <w:r>
              <w:rPr>
                <w:color w:val="auto"/>
                <w:sz w:val="20"/>
                <w:szCs w:val="20"/>
              </w:rPr>
              <w:t xml:space="preserve">кодів для історичних пам`яток, місць та будівель громади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Створення карти історичних місць </w:t>
            </w:r>
            <w:r>
              <w:rPr>
                <w:color w:val="auto"/>
                <w:sz w:val="20"/>
                <w:szCs w:val="20"/>
              </w:rPr>
              <w:t xml:space="preserve">Менщини</w:t>
            </w:r>
            <w:r>
              <w:rPr>
                <w:color w:val="auto"/>
                <w:sz w:val="20"/>
                <w:szCs w:val="20"/>
              </w:rPr>
              <w:t xml:space="preserve"> за допомогою сервісу </w:t>
            </w:r>
            <w:r>
              <w:rPr>
                <w:color w:val="auto"/>
                <w:sz w:val="20"/>
                <w:szCs w:val="20"/>
              </w:rPr>
              <w:t xml:space="preserve">GoogleMap</w:t>
            </w:r>
            <w:r>
              <w:rPr>
                <w:color w:val="auto"/>
                <w:sz w:val="20"/>
                <w:szCs w:val="20"/>
              </w:rPr>
              <w:t xml:space="preserve">.</w:t>
            </w:r>
            <w:r/>
          </w:p>
        </w:tc>
      </w:tr>
      <w:tr>
        <w:trPr>
          <w:gridAfter w:val="5"/>
          <w:trHeight w:val="1634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3.6 </w:t>
            </w:r>
            <w:r>
              <w:rPr>
                <w:color w:val="auto"/>
                <w:sz w:val="20"/>
                <w:szCs w:val="20"/>
              </w:rPr>
              <w:t xml:space="preserve">цифровізація</w:t>
            </w:r>
            <w:r>
              <w:rPr>
                <w:color w:val="auto"/>
                <w:sz w:val="20"/>
                <w:szCs w:val="20"/>
              </w:rPr>
              <w:t xml:space="preserve"> медичних послуг первинної та вторинної ланок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КНП «Менська ЦРЛ» та КНП «Менський ЦПМД»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Придбання ПК та оргтехніки.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Легалізація ПЗ для ПК.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/>
          </w:p>
        </w:tc>
      </w:tr>
      <w:tr>
        <w:trPr>
          <w:gridAfter w:val="5"/>
          <w:trHeight w:val="558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3.7 Модернізація освітніх послуг шляхом застосування новітніх цифрових технологій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освіти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Державний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Легалізація ПЗ. та придбання ПК</w:t>
            </w:r>
            <w:r/>
          </w:p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Запровадження та активне використання е-щоденників та е-журналів, відкриття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STEM</w:t>
            </w:r>
            <w:r>
              <w:rPr>
                <w:color w:val="auto"/>
                <w:sz w:val="20"/>
                <w:szCs w:val="20"/>
              </w:rPr>
              <w:t xml:space="preserve">-лабораторій та медіа-лабораторій, облаштування систем відеоспостереження та оповіщення в  закладах освіти.</w:t>
            </w:r>
            <w:r/>
          </w:p>
        </w:tc>
      </w:tr>
      <w:tr>
        <w:trPr>
          <w:gridAfter w:val="5"/>
          <w:trHeight w:val="315"/>
        </w:trPr>
        <w:tc>
          <w:tcPr>
            <w:gridSpan w:val="9"/>
            <w:tcW w:w="14596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4. </w:t>
            </w:r>
            <w:r>
              <w:rPr>
                <w:color w:val="auto"/>
                <w:sz w:val="20"/>
                <w:szCs w:val="20"/>
              </w:rPr>
              <w:t xml:space="preserve">Розвиток е-урядування та е-</w:t>
            </w:r>
            <w:r>
              <w:rPr>
                <w:color w:val="auto"/>
                <w:sz w:val="20"/>
                <w:szCs w:val="20"/>
              </w:rPr>
              <w:t xml:space="preserve">демокартії</w:t>
            </w:r>
            <w:r>
              <w:rPr>
                <w:color w:val="auto"/>
                <w:sz w:val="20"/>
                <w:szCs w:val="20"/>
              </w:rPr>
              <w:t xml:space="preserve"> громади</w:t>
            </w:r>
            <w:r/>
          </w:p>
        </w:tc>
      </w:tr>
      <w:tr>
        <w:trPr>
          <w:gridAfter w:val="5"/>
          <w:trHeight w:val="1206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</w:t>
            </w:r>
            <w:r>
              <w:rPr>
                <w:color w:val="auto"/>
                <w:sz w:val="20"/>
                <w:szCs w:val="20"/>
              </w:rPr>
              <w:t xml:space="preserve">1. </w:t>
            </w:r>
            <w:r>
              <w:rPr>
                <w:color w:val="auto"/>
                <w:sz w:val="20"/>
                <w:szCs w:val="20"/>
              </w:rPr>
              <w:t xml:space="preserve">Цифровізація</w:t>
            </w:r>
            <w:r>
              <w:rPr>
                <w:color w:val="auto"/>
                <w:sz w:val="20"/>
                <w:szCs w:val="20"/>
              </w:rPr>
              <w:t xml:space="preserve"> публічних послуг для створення </w:t>
            </w:r>
            <w:r>
              <w:rPr>
                <w:color w:val="auto"/>
                <w:sz w:val="20"/>
                <w:szCs w:val="20"/>
              </w:rPr>
              <w:t xml:space="preserve">Дія.Центру</w:t>
            </w:r>
            <w:r>
              <w:rPr>
                <w:color w:val="auto"/>
                <w:sz w:val="20"/>
                <w:szCs w:val="20"/>
              </w:rPr>
              <w:t xml:space="preserve"> в адміністративному центрі громади </w:t>
            </w:r>
            <w:r>
              <w:rPr>
                <w:color w:val="auto"/>
                <w:sz w:val="20"/>
                <w:szCs w:val="20"/>
              </w:rPr>
              <w:t xml:space="preserve">м.Мена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ЦНАП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бюджет, Інші джерела фінансування не заборонені законодавством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(Програма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EGAP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, Фонд 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Східна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Європа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тощо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)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Реконструкція приміщення для створення </w:t>
            </w:r>
            <w:r>
              <w:rPr>
                <w:color w:val="auto"/>
                <w:sz w:val="20"/>
                <w:szCs w:val="20"/>
              </w:rPr>
              <w:t xml:space="preserve">Дія.Центру</w:t>
            </w:r>
            <w:r>
              <w:rPr>
                <w:color w:val="auto"/>
                <w:sz w:val="20"/>
                <w:szCs w:val="20"/>
              </w:rPr>
              <w:t xml:space="preserve"> та  </w:t>
            </w:r>
            <w:r>
              <w:rPr>
                <w:color w:val="auto"/>
                <w:sz w:val="20"/>
                <w:szCs w:val="20"/>
              </w:rPr>
              <w:t xml:space="preserve">облаштовання</w:t>
            </w:r>
            <w:r>
              <w:rPr>
                <w:color w:val="auto"/>
                <w:sz w:val="20"/>
                <w:szCs w:val="20"/>
              </w:rPr>
              <w:t xml:space="preserve"> місць роботи персоналу і місця для обслуговування та відпочинку для відвідувачів ЦНАП, </w:t>
            </w:r>
            <w:r>
              <w:rPr>
                <w:color w:val="auto"/>
                <w:sz w:val="20"/>
                <w:szCs w:val="20"/>
              </w:rPr>
              <w:t xml:space="preserve">цифровізація</w:t>
            </w:r>
            <w:r>
              <w:rPr>
                <w:color w:val="auto"/>
                <w:sz w:val="20"/>
                <w:szCs w:val="20"/>
              </w:rPr>
              <w:t xml:space="preserve"> публічних послуг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Запровадження е-черги;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е-системи онлайн моніторингу;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е-кіоск,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чат-боту «СВОЇ»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4.2.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Організація навчання фахівців громади з питань е-уряд</w:t>
            </w:r>
            <w:r>
              <w:rPr>
                <w:color w:val="auto"/>
                <w:sz w:val="20"/>
                <w:szCs w:val="20"/>
              </w:rPr>
              <w:t xml:space="preserve">ування та е-демократії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Керівники структурних підрозділів міської ради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Представники громадських організацій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Профільні фахівці громади пройшли навчання з питань е-урядування та е-демократії 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4.3. Створення публічного місця інформування місцевого населення про новини життєдіяльності громади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Керівники структурних підрозділів міської ради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Представники громадських організацій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Встановити  вуличний екран. Забезпечити регулярне створення актуального </w:t>
            </w:r>
            <w:r>
              <w:rPr>
                <w:color w:val="auto"/>
                <w:sz w:val="20"/>
                <w:szCs w:val="20"/>
              </w:rPr>
              <w:t xml:space="preserve">відеоконтенту</w:t>
            </w:r>
            <w:r>
              <w:rPr>
                <w:color w:val="auto"/>
                <w:sz w:val="20"/>
                <w:szCs w:val="20"/>
              </w:rPr>
              <w:t xml:space="preserve"> для  інформування населення громади  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4.4. В</w:t>
            </w:r>
            <w:r>
              <w:rPr>
                <w:bCs/>
                <w:color w:val="auto"/>
                <w:sz w:val="20"/>
                <w:szCs w:val="20"/>
              </w:rPr>
              <w:t xml:space="preserve">провадження та технічна підтримка системи відео-трансляцій </w:t>
            </w:r>
            <w:r>
              <w:rPr>
                <w:bCs/>
                <w:color w:val="auto"/>
                <w:sz w:val="20"/>
                <w:szCs w:val="20"/>
              </w:rPr>
              <w:t xml:space="preserve">заходів</w:t>
            </w:r>
            <w:r>
              <w:rPr>
                <w:bCs/>
                <w:color w:val="auto"/>
                <w:sz w:val="20"/>
                <w:szCs w:val="20"/>
              </w:rPr>
              <w:t xml:space="preserve"> міської ради.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Сектор комуні</w:t>
            </w:r>
            <w:r>
              <w:rPr>
                <w:color w:val="auto"/>
                <w:sz w:val="20"/>
                <w:szCs w:val="20"/>
              </w:rPr>
              <w:t xml:space="preserve">кацій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</w:t>
            </w:r>
            <w:r>
              <w:rPr>
                <w:bCs/>
                <w:color w:val="auto"/>
                <w:sz w:val="20"/>
                <w:szCs w:val="20"/>
              </w:rPr>
              <w:t xml:space="preserve">провадження та забезпечення технічної підтримку системи відео-трансляцій пленарних засідань ради ТГ, засідань постійних комісій, засідань виконкомів, інших комісій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Закупівля обладнання для здійснення онлайн трансляцій.</w:t>
            </w:r>
            <w:r/>
          </w:p>
        </w:tc>
      </w:tr>
      <w:tr>
        <w:trPr>
          <w:gridAfter w:val="5"/>
          <w:trHeight w:val="618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4.5. забезпечення публічності та прозорості діяльності виконавчого органу громади, її під</w:t>
            </w:r>
            <w:r>
              <w:rPr>
                <w:color w:val="auto"/>
                <w:sz w:val="20"/>
                <w:szCs w:val="20"/>
              </w:rPr>
              <w:t xml:space="preserve">приємств, установ і організацій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Сектор комунікацій, структурні підрозділі ОМС 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Оперативне висвітлення інформації, яка знаходиться у розпорядженні громади, її підприємств, установ і організацій на офіційному сайті громади, </w:t>
            </w:r>
            <w:r>
              <w:rPr>
                <w:color w:val="auto"/>
                <w:sz w:val="20"/>
                <w:szCs w:val="20"/>
              </w:rPr>
              <w:t xml:space="preserve">Телеграмканалі</w:t>
            </w:r>
            <w:r>
              <w:rPr>
                <w:color w:val="auto"/>
                <w:sz w:val="20"/>
                <w:szCs w:val="20"/>
              </w:rPr>
              <w:t xml:space="preserve">, сторінці у ФБ та </w:t>
            </w:r>
            <w:r>
              <w:rPr>
                <w:color w:val="auto"/>
                <w:sz w:val="20"/>
                <w:szCs w:val="20"/>
              </w:rPr>
              <w:t xml:space="preserve">Ютуб</w:t>
            </w:r>
            <w:r>
              <w:rPr>
                <w:color w:val="auto"/>
                <w:sz w:val="20"/>
                <w:szCs w:val="20"/>
              </w:rPr>
              <w:t xml:space="preserve"> каналі міської ради.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4.6. Приведення у відповідність офіційного сайту міської ради до дизайн-коду Дія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Офіційний сайт Менської міської ради буде приведено у відповідність до </w:t>
            </w:r>
            <w:r>
              <w:rPr>
                <w:color w:val="auto"/>
                <w:sz w:val="20"/>
                <w:szCs w:val="20"/>
              </w:rPr>
              <w:t xml:space="preserve">до</w:t>
            </w:r>
            <w:r>
              <w:rPr>
                <w:color w:val="auto"/>
                <w:sz w:val="20"/>
                <w:szCs w:val="20"/>
              </w:rPr>
              <w:t xml:space="preserve"> дизайн-коду Дія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4.7. Розгортання власного порталу відкритих </w:t>
            </w:r>
            <w:r>
              <w:rPr>
                <w:color w:val="auto"/>
                <w:sz w:val="20"/>
                <w:szCs w:val="20"/>
              </w:rPr>
              <w:t xml:space="preserve">даних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Створення власного порталу відкритих даних та його інтеграція з data.gov.ua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4.8. Публікація наборів даних</w:t>
            </w:r>
            <w:r>
              <w:rPr>
                <w:color w:val="auto"/>
                <w:sz w:val="20"/>
                <w:szCs w:val="20"/>
              </w:rPr>
              <w:t xml:space="preserve">, що перебувають у володінні громади, згідно до абзацу 6 Порядку наборів даних, які підлягають оприлюдненню у формі відкритих даних відповідно до вимог Постанови КМУ №835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Відповідальні особи визначені розпорядженням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</w:t>
            </w:r>
            <w:bookmarkStart w:id="1" w:name="_GoBack"/>
            <w:r/>
            <w:bookmarkEnd w:id="1"/>
            <w:r>
              <w:rPr>
                <w:color w:val="auto"/>
                <w:sz w:val="20"/>
                <w:szCs w:val="20"/>
              </w:rPr>
              <w:t xml:space="preserve">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</w:t>
            </w:r>
            <w:r>
              <w:rPr>
                <w:color w:val="auto"/>
                <w:sz w:val="20"/>
                <w:szCs w:val="20"/>
              </w:rPr>
              <w:t xml:space="preserve">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Здійснено підключення до Єдиного державного веб-порталу відкритих даних та опубліковані відповідні набори даних</w:t>
            </w:r>
            <w:r/>
          </w:p>
        </w:tc>
      </w:tr>
      <w:tr>
        <w:trPr>
          <w:gridAfter w:val="5"/>
          <w:trHeight w:val="562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4.9. Забезпечення роботи </w:t>
            </w:r>
            <w:r>
              <w:rPr>
                <w:color w:val="auto"/>
                <w:sz w:val="20"/>
                <w:szCs w:val="20"/>
              </w:rPr>
              <w:t xml:space="preserve">Дія.Бізнес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економічного розвитку та інвестицій, Відділ ЦНАП, КУ “Агенція розвитку </w:t>
            </w:r>
            <w:r>
              <w:rPr>
                <w:color w:val="auto"/>
                <w:sz w:val="20"/>
                <w:szCs w:val="20"/>
              </w:rPr>
              <w:t xml:space="preserve">Менщини</w:t>
            </w:r>
            <w:r>
              <w:rPr>
                <w:color w:val="auto"/>
                <w:sz w:val="20"/>
                <w:szCs w:val="20"/>
              </w:rPr>
              <w:t xml:space="preserve">”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clear" w:pos="709" w:leader="none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 xml:space="preserve"> Встановлення відповідного програмного забезпечення, яке підтримує роботу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Дія.Бізнес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 та оновлення матеріально-техн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ічної бази (комп’ютери чи ноутбуки, модеми, ДБЖ, принтери, БФУ,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плотери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, 3-D принтери,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термопринтери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,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фто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- та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відеообладнання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 та інше комп’ютерне та периферійне обладнання, кондиціонери, меблі, системи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відеонагляду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, протипожежної безпеки тощо).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Крім того б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уде забезпечено підготовку та навчання персоналу, який буде відповідати за обслуговування підприємців та налагодження взаємодії з місцевими підприємцями та іншими зацікавленими сторонами, щоб забезпечити ефективну роботу центру. Створення, адміністрування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та наповнення актуальною інформацією сайту та офіційних сторінок в 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соцмережах</w:t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, регулярне оновлення і удосконалення системи з урахуванням потреб та змін у сфері бізнесу та адміністративних послуг.</w:t>
            </w:r>
            <w:r/>
          </w:p>
        </w:tc>
      </w:tr>
      <w:tr>
        <w:trPr>
          <w:gridAfter w:val="5"/>
          <w:trHeight w:val="268"/>
        </w:trPr>
        <w:tc>
          <w:tcPr>
            <w:gridSpan w:val="9"/>
            <w:tcW w:w="14596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 </w:t>
            </w:r>
            <w:r>
              <w:rPr>
                <w:color w:val="auto"/>
                <w:sz w:val="20"/>
                <w:szCs w:val="20"/>
              </w:rPr>
              <w:t xml:space="preserve">Розвиток безпечного середовища громади </w:t>
            </w:r>
            <w:r/>
          </w:p>
        </w:tc>
      </w:tr>
      <w:tr>
        <w:trPr>
          <w:gridAfter w:val="5"/>
          <w:trHeight w:val="338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5.1 </w:t>
            </w:r>
            <w:r>
              <w:rPr>
                <w:color w:val="auto"/>
                <w:sz w:val="20"/>
                <w:szCs w:val="20"/>
              </w:rPr>
              <w:t xml:space="preserve">Цифровізація</w:t>
            </w:r>
            <w:r>
              <w:rPr>
                <w:color w:val="auto"/>
                <w:sz w:val="20"/>
                <w:szCs w:val="20"/>
              </w:rPr>
              <w:t xml:space="preserve"> напрямків покращення безпеки у громаді, в тому числі по програмі </w:t>
            </w:r>
            <w:r>
              <w:rPr>
                <w:color w:val="auto"/>
                <w:sz w:val="20"/>
                <w:szCs w:val="20"/>
              </w:rPr>
              <w:t xml:space="preserve">«Безпечна громада»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Структурний підрозділ, який відповідає за взаємодію з правоохоронними органами та координує роботу по реалізації </w:t>
            </w:r>
            <w:r>
              <w:rPr>
                <w:color w:val="auto"/>
                <w:sz w:val="20"/>
                <w:szCs w:val="20"/>
              </w:rPr>
              <w:t xml:space="preserve">заходв</w:t>
            </w:r>
            <w:r>
              <w:rPr>
                <w:color w:val="auto"/>
                <w:sz w:val="20"/>
                <w:szCs w:val="20"/>
              </w:rPr>
              <w:t xml:space="preserve"> безпеки в громаді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бухгалтерського обліку та звітності, 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Комунальні</w:t>
            </w:r>
            <w:r>
              <w:rPr>
                <w:color w:val="auto"/>
                <w:sz w:val="20"/>
                <w:szCs w:val="20"/>
              </w:rPr>
              <w:t xml:space="preserve"> Підприємства</w:t>
            </w:r>
            <w:r>
              <w:rPr>
                <w:color w:val="auto"/>
                <w:sz w:val="20"/>
                <w:szCs w:val="20"/>
              </w:rPr>
              <w:t xml:space="preserve">, установи, заклади, організації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Нац</w:t>
            </w:r>
            <w:r>
              <w:rPr>
                <w:color w:val="auto"/>
                <w:sz w:val="20"/>
                <w:szCs w:val="20"/>
              </w:rPr>
              <w:t xml:space="preserve">іональна </w:t>
            </w:r>
            <w:r>
              <w:rPr>
                <w:color w:val="auto"/>
                <w:sz w:val="20"/>
                <w:szCs w:val="20"/>
              </w:rPr>
              <w:t xml:space="preserve">поліція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виконавці Програми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Державний/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Обласний /місцевий бюджет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Інші джерела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межах фінансування 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2000 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Підключено в єдину мережу системи відеоспостереження населених пунктів, установ, підприємств громади.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Встановлення системи оповіщення на території громади.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Розширення мережі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SAVE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-</w:t>
            </w:r>
            <w:r>
              <w:rPr>
                <w:color w:val="auto"/>
                <w:sz w:val="20"/>
                <w:szCs w:val="20"/>
              </w:rPr>
              <w:t xml:space="preserve">ботів на території громади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Створення сит</w:t>
            </w:r>
            <w:r>
              <w:rPr>
                <w:color w:val="auto"/>
                <w:sz w:val="20"/>
                <w:szCs w:val="20"/>
              </w:rPr>
              <w:t xml:space="preserve">у</w:t>
            </w:r>
            <w:r>
              <w:rPr>
                <w:color w:val="auto"/>
                <w:sz w:val="20"/>
                <w:szCs w:val="20"/>
              </w:rPr>
              <w:t xml:space="preserve">аці</w:t>
            </w:r>
            <w:r>
              <w:rPr>
                <w:color w:val="auto"/>
                <w:sz w:val="20"/>
                <w:szCs w:val="20"/>
              </w:rPr>
              <w:t xml:space="preserve">йного центру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Оснащення </w:t>
            </w:r>
            <w:r>
              <w:rPr>
                <w:color w:val="auto"/>
                <w:sz w:val="20"/>
                <w:szCs w:val="20"/>
              </w:rPr>
              <w:t xml:space="preserve">поліцейськийх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станців</w:t>
            </w:r>
            <w:r>
              <w:rPr>
                <w:color w:val="auto"/>
                <w:sz w:val="20"/>
                <w:szCs w:val="20"/>
              </w:rPr>
              <w:t xml:space="preserve"> комп'ютерною технікою</w:t>
            </w:r>
            <w:r/>
          </w:p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ЗАПРОВАДИТИ ПІСЛЯ ЗАВЕРШЕННЯ ВОЄННОГО СТАНУ – не можна виставляти карти онлайн</w:t>
            </w:r>
            <w:r/>
          </w:p>
        </w:tc>
      </w:tr>
      <w:tr>
        <w:trPr>
          <w:gridAfter w:val="5"/>
          <w:trHeight w:val="338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5.2.</w:t>
            </w:r>
            <w:r>
              <w:rPr>
                <w:color w:val="auto"/>
                <w:sz w:val="20"/>
                <w:szCs w:val="20"/>
              </w:rPr>
              <w:t xml:space="preserve"> участь у всеукраїнських науково-практичних конференціях, регіональних семінарах, круглих столах, </w:t>
            </w:r>
            <w:r>
              <w:rPr>
                <w:color w:val="auto"/>
                <w:sz w:val="20"/>
                <w:szCs w:val="20"/>
              </w:rPr>
              <w:t xml:space="preserve">відеоконференціях</w:t>
            </w:r>
            <w:r>
              <w:rPr>
                <w:color w:val="auto"/>
                <w:sz w:val="20"/>
                <w:szCs w:val="20"/>
              </w:rPr>
              <w:t xml:space="preserve"> щодо впровадження та подальшого застосування ІТ-рішень для </w:t>
            </w:r>
            <w:r>
              <w:rPr>
                <w:color w:val="auto"/>
                <w:sz w:val="20"/>
                <w:szCs w:val="20"/>
              </w:rPr>
              <w:t xml:space="preserve">кіберзахисту</w:t>
            </w:r>
            <w:r>
              <w:rPr>
                <w:color w:val="auto"/>
                <w:sz w:val="20"/>
                <w:szCs w:val="20"/>
              </w:rPr>
              <w:t xml:space="preserve"> інформаційних ресурсів громади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Структурні підрозділі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Обласний/місцевий бюджет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Профільні фахівці приймали участь у заходах з питань впровадження та подальшого застосування ІТ-рішень для </w:t>
            </w:r>
            <w:r>
              <w:rPr>
                <w:color w:val="auto"/>
                <w:sz w:val="20"/>
                <w:szCs w:val="20"/>
              </w:rPr>
              <w:t xml:space="preserve">кіберзахисту</w:t>
            </w:r>
            <w:r>
              <w:rPr>
                <w:color w:val="auto"/>
                <w:sz w:val="20"/>
                <w:szCs w:val="20"/>
              </w:rPr>
              <w:t xml:space="preserve"> інформаційних ресурсів громади</w:t>
            </w:r>
            <w:r/>
          </w:p>
        </w:tc>
      </w:tr>
      <w:tr>
        <w:trPr>
          <w:gridAfter w:val="5"/>
          <w:trHeight w:val="338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5.3.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проведення навчань жителів громади з питань дотримання інформаційної та </w:t>
            </w:r>
            <w:r>
              <w:rPr>
                <w:color w:val="auto"/>
                <w:sz w:val="20"/>
                <w:szCs w:val="20"/>
              </w:rPr>
              <w:t xml:space="preserve">кібергігієни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>
              <w:rPr>
                <w:color w:val="auto"/>
                <w:sz w:val="20"/>
                <w:szCs w:val="20"/>
              </w:rPr>
              <w:t xml:space="preserve">, інші виконавці Програми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Обл</w:t>
            </w:r>
            <w:r>
              <w:rPr>
                <w:color w:val="auto"/>
                <w:sz w:val="18"/>
                <w:szCs w:val="20"/>
              </w:rPr>
              <w:t xml:space="preserve">асний/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>
              <w:rPr>
                <w:color w:val="auto"/>
                <w:sz w:val="18"/>
                <w:szCs w:val="20"/>
              </w:rPr>
              <w:t xml:space="preserve">місцевий бюджет, інші джерела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100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2024 -2026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Жителі  громади різних вікових категорій пройш</w:t>
            </w:r>
            <w:r>
              <w:rPr>
                <w:color w:val="auto"/>
                <w:sz w:val="20"/>
                <w:szCs w:val="20"/>
              </w:rPr>
              <w:t xml:space="preserve">ли навчання з інформаційної та </w:t>
            </w:r>
            <w:r>
              <w:rPr>
                <w:color w:val="auto"/>
                <w:sz w:val="20"/>
                <w:szCs w:val="20"/>
              </w:rPr>
              <w:t xml:space="preserve">кібергігієни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/>
          </w:p>
        </w:tc>
      </w:tr>
      <w:tr>
        <w:trPr>
          <w:gridAfter w:val="5"/>
          <w:trHeight w:val="338"/>
        </w:trPr>
        <w:tc>
          <w:tcPr>
            <w:tcW w:w="3819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5.4. Встановлення сенсорів роботи кінцевих точок (</w:t>
            </w:r>
            <w:r>
              <w:rPr>
                <w:color w:val="auto"/>
                <w:sz w:val="20"/>
                <w:szCs w:val="20"/>
              </w:rPr>
              <w:t xml:space="preserve">Crowdstrike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Falcon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 xml:space="preserve">на робочих станціях та серверах міської ради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Відділ цифрових трансформацій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2022-2024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Обласний/місцевий бюджет, інші джерела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3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Не потребує фінансування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Забебпечення</w:t>
            </w:r>
            <w:r>
              <w:rPr>
                <w:color w:val="auto"/>
                <w:sz w:val="20"/>
                <w:szCs w:val="20"/>
              </w:rPr>
              <w:t xml:space="preserve"> контролю роботи кінцевих точок</w:t>
            </w:r>
            <w:r/>
          </w:p>
        </w:tc>
      </w:tr>
    </w:tbl>
    <w:p>
      <w:pPr>
        <w:tabs>
          <w:tab w:val="clear" w:pos="709" w:leader="none"/>
        </w:tabs>
        <w:rPr>
          <w:color w:val="auto"/>
        </w:rPr>
      </w:pPr>
      <w:r>
        <w:rPr>
          <w:rFonts w:eastAsiaTheme="minorEastAsia"/>
          <w:color w:val="auto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0"/>
        <w:tabs>
          <w:tab w:val="clear" w:pos="709" w:leader="none"/>
          <w:tab w:val="left" w:pos="9496" w:leader="none"/>
        </w:tabs>
        <w:rPr>
          <w:color w:val="auto"/>
        </w:rPr>
      </w:pPr>
      <w:r>
        <w:rPr>
          <w:rFonts w:eastAsiaTheme="minorEastAsia"/>
          <w:color w:val="auto"/>
        </w:rPr>
        <w:t xml:space="preserve">Начальник </w:t>
      </w:r>
      <w:r>
        <w:rPr>
          <w:rFonts w:eastAsiaTheme="minorEastAsia"/>
          <w:color w:val="auto"/>
        </w:rPr>
        <w:t xml:space="preserve">відділу</w:t>
      </w:r>
      <w:r>
        <w:rPr>
          <w:rFonts w:eastAsiaTheme="minorEastAsia"/>
          <w:color w:val="auto"/>
        </w:rPr>
        <w:t xml:space="preserve"> цифрових трансформацій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0"/>
        <w:tabs>
          <w:tab w:val="clear" w:pos="709" w:leader="none"/>
          <w:tab w:val="left" w:pos="9496" w:leader="none"/>
        </w:tabs>
        <w:rPr>
          <w:color w:val="auto"/>
        </w:rPr>
      </w:pPr>
      <w:r>
        <w:rPr>
          <w:rFonts w:eastAsiaTheme="minorEastAsia"/>
          <w:color w:val="auto"/>
        </w:rPr>
        <w:t xml:space="preserve">Менської міської ради</w:t>
        <w:tab/>
        <w:t xml:space="preserve">Володимир КОРДАШ</w:t>
      </w:r>
      <w:r>
        <w:rPr>
          <w:rFonts w:eastAsiaTheme="minorEastAsia"/>
        </w:rPr>
      </w:r>
      <w:r>
        <w:rPr>
          <w:rFonts w:eastAsiaTheme="minorEastAsi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ind w:firstLine="0"/>
      <w:jc w:val="right"/>
      <w:tabs>
        <w:tab w:val="clear" w:pos="709" w:leader="none"/>
        <w:tab w:val="left" w:pos="1984" w:leader="none"/>
        <w:tab w:val="clear" w:pos="7143" w:leader="none"/>
        <w:tab w:val="clear" w:pos="14287" w:leader="none"/>
      </w:tabs>
    </w:pPr>
    <w:r>
      <w:fldChar w:fldCharType="begin"/>
    </w:r>
    <w:r>
      <w:instrText xml:space="preserve">PAGE \* MERGEFORMAT</w:instrText>
    </w:r>
    <w:r>
      <w:fldChar w:fldCharType="separate"/>
    </w:r>
    <w:r>
      <w:t xml:space="preserve">9</w:t>
    </w:r>
    <w:r>
      <w:fldChar w:fldCharType="end"/>
    </w:r>
    <w:r>
      <w:tab/>
    </w:r>
    <w:r>
      <w:tab/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5">
    <w:name w:val="Heading 1"/>
    <w:basedOn w:val="674"/>
    <w:next w:val="674"/>
    <w:link w:val="704"/>
    <w:qFormat/>
    <w:uiPriority w:val="9"/>
    <w:rPr>
      <w:rFonts w:cs="Mangal" w:eastAsia="Lucida Sans Unicode"/>
      <w:b/>
      <w:color w:val="000000" w:themeColor="text1"/>
      <w:sz w:val="28"/>
      <w:szCs w:val="28"/>
      <w:lang w:bidi="hi-IN" w:eastAsia="hi-IN"/>
    </w:rPr>
    <w:pPr>
      <w:ind w:firstLine="0"/>
      <w:jc w:val="center"/>
      <w:widowControl w:val="off"/>
      <w:outlineLvl w:val="0"/>
    </w:pPr>
  </w:style>
  <w:style w:type="paragraph" w:styleId="676">
    <w:name w:val="Heading 2"/>
    <w:basedOn w:val="674"/>
    <w:next w:val="674"/>
    <w:link w:val="705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77">
    <w:name w:val="Heading 3"/>
    <w:basedOn w:val="674"/>
    <w:next w:val="674"/>
    <w:link w:val="706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78">
    <w:name w:val="Heading 4"/>
    <w:basedOn w:val="674"/>
    <w:next w:val="674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link w:val="70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link w:val="71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Header Char"/>
    <w:basedOn w:val="684"/>
    <w:uiPriority w:val="99"/>
  </w:style>
  <w:style w:type="character" w:styleId="701" w:customStyle="1">
    <w:name w:val="Caption Char"/>
    <w:uiPriority w:val="99"/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"/>
    <w:link w:val="67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character" w:styleId="705" w:customStyle="1">
    <w:name w:val="Заголовок 2 Знак"/>
    <w:link w:val="67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06" w:customStyle="1">
    <w:name w:val="Заголовок 3 Знак"/>
    <w:link w:val="67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07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674"/>
    <w:link w:val="874"/>
    <w:qFormat/>
    <w:uiPriority w:val="34"/>
    <w:pPr>
      <w:contextualSpacing w:val="true"/>
      <w:ind w:left="720"/>
    </w:pPr>
  </w:style>
  <w:style w:type="paragraph" w:styleId="714">
    <w:name w:val="No Spacing"/>
    <w:basedOn w:val="674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15">
    <w:name w:val="Title"/>
    <w:basedOn w:val="674"/>
    <w:next w:val="674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Заголовок Знак"/>
    <w:basedOn w:val="684"/>
    <w:link w:val="715"/>
    <w:uiPriority w:val="10"/>
    <w:rPr>
      <w:sz w:val="48"/>
      <w:szCs w:val="48"/>
    </w:rPr>
  </w:style>
  <w:style w:type="paragraph" w:styleId="717">
    <w:name w:val="Subtitle"/>
    <w:basedOn w:val="674"/>
    <w:next w:val="674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одзаголовок Знак"/>
    <w:basedOn w:val="684"/>
    <w:link w:val="717"/>
    <w:uiPriority w:val="11"/>
    <w:rPr>
      <w:sz w:val="24"/>
      <w:szCs w:val="24"/>
    </w:rPr>
  </w:style>
  <w:style w:type="paragraph" w:styleId="719">
    <w:name w:val="Quote"/>
    <w:basedOn w:val="674"/>
    <w:next w:val="674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74"/>
    <w:next w:val="674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>
    <w:name w:val="Header"/>
    <w:basedOn w:val="674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Верхний колонтитул Знак"/>
    <w:basedOn w:val="684"/>
    <w:link w:val="723"/>
    <w:uiPriority w:val="99"/>
  </w:style>
  <w:style w:type="paragraph" w:styleId="725">
    <w:name w:val="Footer"/>
    <w:basedOn w:val="674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684"/>
    <w:uiPriority w:val="99"/>
  </w:style>
  <w:style w:type="paragraph" w:styleId="727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Нижний колонтитул Знак"/>
    <w:link w:val="725"/>
    <w:uiPriority w:val="99"/>
  </w:style>
  <w:style w:type="table" w:styleId="729">
    <w:name w:val="Table Grid"/>
    <w:basedOn w:val="68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0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1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9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0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1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2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3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4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674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684"/>
    <w:uiPriority w:val="99"/>
    <w:unhideWhenUsed/>
    <w:rPr>
      <w:vertAlign w:val="superscript"/>
    </w:rPr>
  </w:style>
  <w:style w:type="paragraph" w:styleId="859">
    <w:name w:val="endnote text"/>
    <w:basedOn w:val="674"/>
    <w:link w:val="860"/>
    <w:uiPriority w:val="99"/>
    <w:semiHidden/>
    <w:unhideWhenUsed/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684"/>
    <w:uiPriority w:val="99"/>
    <w:semiHidden/>
    <w:unhideWhenUsed/>
    <w:rPr>
      <w:vertAlign w:val="superscript"/>
    </w:rPr>
  </w:style>
  <w:style w:type="paragraph" w:styleId="862">
    <w:name w:val="toc 1"/>
    <w:basedOn w:val="674"/>
    <w:next w:val="674"/>
    <w:uiPriority w:val="39"/>
    <w:unhideWhenUsed/>
    <w:pPr>
      <w:ind w:firstLine="0"/>
      <w:spacing w:after="57"/>
    </w:pPr>
  </w:style>
  <w:style w:type="paragraph" w:styleId="863">
    <w:name w:val="toc 2"/>
    <w:basedOn w:val="674"/>
    <w:next w:val="674"/>
    <w:uiPriority w:val="39"/>
    <w:unhideWhenUsed/>
    <w:pPr>
      <w:ind w:left="283" w:firstLine="0"/>
      <w:spacing w:after="57"/>
    </w:pPr>
  </w:style>
  <w:style w:type="paragraph" w:styleId="864">
    <w:name w:val="toc 3"/>
    <w:basedOn w:val="674"/>
    <w:next w:val="674"/>
    <w:uiPriority w:val="39"/>
    <w:unhideWhenUsed/>
    <w:pPr>
      <w:ind w:left="567" w:firstLine="0"/>
      <w:spacing w:after="57"/>
    </w:pPr>
  </w:style>
  <w:style w:type="paragraph" w:styleId="865">
    <w:name w:val="toc 4"/>
    <w:basedOn w:val="674"/>
    <w:next w:val="674"/>
    <w:uiPriority w:val="39"/>
    <w:unhideWhenUsed/>
    <w:pPr>
      <w:ind w:left="850" w:firstLine="0"/>
      <w:spacing w:after="57"/>
    </w:pPr>
  </w:style>
  <w:style w:type="paragraph" w:styleId="866">
    <w:name w:val="toc 5"/>
    <w:basedOn w:val="674"/>
    <w:next w:val="674"/>
    <w:uiPriority w:val="39"/>
    <w:unhideWhenUsed/>
    <w:pPr>
      <w:ind w:left="1134" w:firstLine="0"/>
      <w:spacing w:after="57"/>
    </w:pPr>
  </w:style>
  <w:style w:type="paragraph" w:styleId="867">
    <w:name w:val="toc 6"/>
    <w:basedOn w:val="674"/>
    <w:next w:val="674"/>
    <w:uiPriority w:val="39"/>
    <w:unhideWhenUsed/>
    <w:pPr>
      <w:ind w:left="1417" w:firstLine="0"/>
      <w:spacing w:after="57"/>
    </w:pPr>
  </w:style>
  <w:style w:type="paragraph" w:styleId="868">
    <w:name w:val="toc 7"/>
    <w:basedOn w:val="674"/>
    <w:next w:val="674"/>
    <w:uiPriority w:val="39"/>
    <w:unhideWhenUsed/>
    <w:pPr>
      <w:ind w:left="1701" w:firstLine="0"/>
      <w:spacing w:after="57"/>
    </w:pPr>
  </w:style>
  <w:style w:type="paragraph" w:styleId="869">
    <w:name w:val="toc 8"/>
    <w:basedOn w:val="674"/>
    <w:next w:val="674"/>
    <w:uiPriority w:val="39"/>
    <w:unhideWhenUsed/>
    <w:pPr>
      <w:ind w:left="1984" w:firstLine="0"/>
      <w:spacing w:after="57"/>
    </w:pPr>
  </w:style>
  <w:style w:type="paragraph" w:styleId="870">
    <w:name w:val="toc 9"/>
    <w:basedOn w:val="674"/>
    <w:next w:val="674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74"/>
    <w:next w:val="674"/>
    <w:uiPriority w:val="99"/>
    <w:unhideWhenUsed/>
  </w:style>
  <w:style w:type="paragraph" w:styleId="873">
    <w:name w:val="Normal (Web)"/>
    <w:basedOn w:val="674"/>
    <w:link w:val="875"/>
    <w:qFormat/>
    <w:uiPriority w:val="99"/>
    <w:unhideWhenUsed/>
    <w:rPr>
      <w:color w:val="auto"/>
      <w:sz w:val="28"/>
      <w:szCs w:val="28"/>
      <w:lang w:eastAsia="ru-RU"/>
    </w:rPr>
    <w:pPr>
      <w:ind w:firstLine="0"/>
      <w:spacing w:after="100" w:afterAutospacing="1" w:before="100" w:beforeAutospacing="1"/>
      <w:tabs>
        <w:tab w:val="clear" w:pos="709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4" w:customStyle="1">
    <w:name w:val="Абзац списка Знак"/>
    <w:link w:val="713"/>
    <w:uiPriority w:val="34"/>
    <w:rPr>
      <w:rFonts w:ascii="Times New Roman" w:hAnsi="Times New Roman" w:cs="Times New Roman" w:eastAsia="Times New Roman"/>
      <w:color w:val="000000"/>
      <w:sz w:val="28"/>
    </w:rPr>
  </w:style>
  <w:style w:type="character" w:styleId="875" w:customStyle="1">
    <w:name w:val="Обычный (веб) Знак"/>
    <w:link w:val="873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353046C-E5FC-49C9-AAA9-A7C24BADC26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Ємець Тетяна Олександрівна</cp:lastModifiedBy>
  <cp:revision>6</cp:revision>
  <dcterms:created xsi:type="dcterms:W3CDTF">2023-12-18T12:19:00Z</dcterms:created>
  <dcterms:modified xsi:type="dcterms:W3CDTF">2023-12-18T14:16:01Z</dcterms:modified>
</cp:coreProperties>
</file>