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  <w:lang w:val="uk-UA"/>
        </w:rPr>
        <w:t xml:space="preserve">Додаток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/>
          <w:sz w:val="28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40"/>
          <w:lang w:val="uk-UA"/>
        </w:rPr>
        <w:t xml:space="preserve">до рішення 43 сесії 8 скликання</w:t>
      </w:r>
      <w:r>
        <w:rPr>
          <w:rFonts w:ascii="Times New Roman" w:hAnsi="Times New Roman" w:cs="Times New Roman"/>
          <w:sz w:val="28"/>
          <w:szCs w:val="40"/>
          <w:lang w:val="uk-UA"/>
        </w:rPr>
        <w:t xml:space="preserve"> Менської міської ради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  <w:lang w:val="uk-UA"/>
        </w:rPr>
        <w:t xml:space="preserve">21 грудня 2023 року № 749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БОРОТЬБИ З КАРАНТИННИМ БУР’ЯНОМ –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АМБРОЗІЄЮ ПОЛИНОЛИСТОЮ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ТЕРИТОРІЇ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2024-2028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МЕНА-2023 р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894"/>
        <w:numPr>
          <w:ilvl w:val="0"/>
          <w:numId w:val="2"/>
        </w:numPr>
        <w:ind w:left="0" w:right="0" w:firstLine="0"/>
        <w:jc w:val="center"/>
        <w:spacing w:lineRule="auto" w:line="240" w:after="0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боротьби з карантинним бур’яном – амброзією полинолистою на території Менської міської територіальної громади на 2024-2028 роки</w:t>
      </w:r>
      <w:r/>
    </w:p>
    <w:tbl>
      <w:tblPr>
        <w:tblStyle w:val="89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6237"/>
      </w:tblGrid>
      <w:tr>
        <w:trPr>
          <w:trHeight w:val="67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spacing w:lineRule="auto" w:line="228"/>
              <w:tabs>
                <w:tab w:val="left" w:pos="720" w:leader="none"/>
              </w:tabs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Програма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lang w:val="uk-UA"/>
              </w:rPr>
              <w:t xml:space="preserve">боротьби з карантинним бур’яном – амброзією полинолистою</w:t>
            </w:r>
            <w:r>
              <w:rPr>
                <w:color w:val="000000" w:themeColor="text1"/>
                <w:sz w:val="28"/>
              </w:rPr>
              <w:t xml:space="preserve"> на </w:t>
            </w:r>
            <w:r>
              <w:rPr>
                <w:color w:val="000000" w:themeColor="text1"/>
                <w:sz w:val="28"/>
                <w:lang w:val="uk-UA"/>
              </w:rPr>
              <w:t xml:space="preserve">території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Менськ</w:t>
            </w:r>
            <w:r>
              <w:rPr>
                <w:color w:val="000000" w:themeColor="text1"/>
                <w:sz w:val="28"/>
                <w:lang w:val="uk-UA"/>
              </w:rPr>
              <w:t xml:space="preserve">ої міської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територіальн</w:t>
            </w:r>
            <w:r>
              <w:rPr>
                <w:color w:val="000000" w:themeColor="text1"/>
                <w:sz w:val="28"/>
                <w:lang w:val="uk-UA"/>
              </w:rPr>
              <w:t xml:space="preserve">ої</w:t>
            </w:r>
            <w:r>
              <w:rPr>
                <w:color w:val="000000" w:themeColor="text1"/>
                <w:sz w:val="28"/>
              </w:rPr>
              <w:t xml:space="preserve"> громад</w:t>
            </w:r>
            <w:r>
              <w:rPr>
                <w:color w:val="000000" w:themeColor="text1"/>
                <w:sz w:val="28"/>
                <w:lang w:val="uk-UA"/>
              </w:rPr>
              <w:t xml:space="preserve">и</w:t>
            </w:r>
            <w:r>
              <w:rPr>
                <w:color w:val="000000" w:themeColor="text1"/>
                <w:sz w:val="28"/>
              </w:rPr>
              <w:t xml:space="preserve"> (далі </w:t>
            </w:r>
            <w:r>
              <w:rPr>
                <w:color w:val="000000" w:themeColor="text1"/>
                <w:sz w:val="28"/>
                <w:lang w:val="uk-UA"/>
              </w:rPr>
              <w:t xml:space="preserve">- </w:t>
            </w:r>
            <w:r>
              <w:rPr>
                <w:color w:val="000000" w:themeColor="text1"/>
                <w:sz w:val="28"/>
              </w:rPr>
              <w:t xml:space="preserve">Програма)</w:t>
            </w:r>
            <w:r/>
          </w:p>
        </w:tc>
      </w:tr>
      <w:tr>
        <w:trPr>
          <w:trHeight w:val="67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карантин рослин»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30.06.1993 №3348-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«Про благоустрій населених пунктів» від 06.09.2005 №2807-І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«Про захист рослин» від 14.10.1998 №180-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«Про охорону земель» від 19.06.2003 №962-І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lang w:val="uk-UA"/>
              </w:rPr>
              <w:t xml:space="preserve">Розпорядження Корюківської районної військов</w:t>
            </w:r>
            <w:r>
              <w:rPr>
                <w:color w:val="000000" w:themeColor="text1"/>
                <w:sz w:val="28"/>
                <w:lang w:val="uk-UA"/>
              </w:rPr>
              <w:t xml:space="preserve">ої адміністрації від 22.06.2022 №64, Регіональна цільова програма боротьби з карантинним бур’яном – амброзією полинолистою в Чернігівській області на 2022-2026 роки, затверджена рішенням 7 сесії 8 скликання Чернігівської обласної ради від 30.11.2021 №10-7/</w:t>
            </w:r>
            <w:r>
              <w:rPr>
                <w:color w:val="000000" w:themeColor="text1"/>
                <w:sz w:val="28"/>
                <w:lang w:val="en-US"/>
              </w:rPr>
              <w:t xml:space="preserve">VIII</w:t>
            </w:r>
            <w:r/>
          </w:p>
        </w:tc>
      </w:tr>
      <w:tr>
        <w:trPr>
          <w:trHeight w:val="155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Основні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цілі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shd w:val="clear" w:color="FFFFFF" w:fill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  <w:szCs w:val="28"/>
                <w:lang w:val="uk-UA"/>
              </w:rPr>
              <w:t xml:space="preserve">П</w:t>
            </w:r>
            <w:r>
              <w:rPr>
                <w:sz w:val="28"/>
                <w:szCs w:val="28"/>
              </w:rPr>
              <w:t xml:space="preserve">роведення комплексу заходів по виявленню, локалізації та ліквідації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вогнищ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амброзії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полинолистої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громаді: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приведення в належний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фітосанітарний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естетичний стан території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громади</w:t>
            </w:r>
            <w:r>
              <w:rPr>
                <w:sz w:val="28"/>
                <w:szCs w:val="28"/>
              </w:rPr>
              <w:t xml:space="preserve">; зменшення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кількості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випадків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захворювання на алергію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серед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населення</w:t>
            </w:r>
            <w:r/>
          </w:p>
        </w:tc>
      </w:tr>
      <w:tr>
        <w:trPr>
          <w:trHeight w:val="67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Ініціатор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розроблення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Відділ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земельних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відносин, агропромислового комплексу та екології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Менської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міської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ради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Розробник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Відділ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земельних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відносин, агропромислового комплексу та екології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Менської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міської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ради</w:t>
            </w:r>
            <w:r/>
          </w:p>
        </w:tc>
      </w:tr>
      <w:tr>
        <w:trPr>
          <w:trHeight w:val="13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7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Співрозробники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Відповідальний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виконавець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Відділ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земельних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відносин, агропромислового комплексу та екології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Менської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міської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Учасники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Менська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міська рада,</w:t>
            </w:r>
            <w:r>
              <w:rPr>
                <w:color w:val="000000" w:themeColor="text1"/>
                <w:sz w:val="28"/>
                <w:lang w:val="uk-UA"/>
              </w:rPr>
              <w:t xml:space="preserve"> землевласники та землекористувачі,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засоби масової інформації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Термін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реалізації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202</w:t>
            </w:r>
            <w:r>
              <w:rPr>
                <w:color w:val="000000" w:themeColor="text1"/>
                <w:sz w:val="28"/>
                <w:lang w:val="uk-UA"/>
              </w:rPr>
              <w:t xml:space="preserve">4</w:t>
            </w:r>
            <w:r>
              <w:rPr>
                <w:color w:val="000000" w:themeColor="text1"/>
                <w:sz w:val="28"/>
              </w:rPr>
              <w:t xml:space="preserve">-202</w:t>
            </w:r>
            <w:r>
              <w:rPr>
                <w:color w:val="000000" w:themeColor="text1"/>
                <w:sz w:val="28"/>
                <w:lang w:val="uk-UA"/>
              </w:rPr>
              <w:t xml:space="preserve">8</w:t>
            </w:r>
            <w:r>
              <w:rPr>
                <w:color w:val="000000" w:themeColor="text1"/>
                <w:sz w:val="28"/>
              </w:rPr>
              <w:t xml:space="preserve"> роки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Перелік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бюджетів, які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беруть участь у виконанні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 (для комплексних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Програм)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jc w:val="both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Обласний бюджет, бюджет Менської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міської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територіальної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громади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інші джерела, які не заборонені чинним законодавством</w:t>
            </w:r>
            <w:r>
              <w:rPr>
                <w:color w:val="000000" w:themeColor="text1"/>
                <w:sz w:val="28"/>
              </w:rPr>
            </w:r>
            <w:r/>
          </w:p>
        </w:tc>
      </w:tr>
      <w:tr>
        <w:trPr>
          <w:trHeight w:val="28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Загальний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обсяг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фінансових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ресурсів, необхідних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для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реалізації</w:t>
            </w:r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Програми, всього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7" w:type="dxa"/>
            <w:vAlign w:val="center"/>
            <w:textDirection w:val="lrTb"/>
            <w:noWrap/>
          </w:tcPr>
          <w:p>
            <w:pPr>
              <w:spacing w:lineRule="auto" w:line="228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  <w:lang w:val="uk-UA"/>
              </w:rPr>
              <w:t xml:space="preserve">100000</w:t>
            </w:r>
            <w:r>
              <w:rPr>
                <w:sz w:val="28"/>
              </w:rPr>
              <w:t xml:space="preserve">,00</w:t>
            </w:r>
            <w:r>
              <w:rPr>
                <w:color w:val="000000" w:themeColor="text1"/>
                <w:sz w:val="28"/>
              </w:rPr>
              <w:t xml:space="preserve"> грн (50% - обласний бюджет, 50 % -  бюджет Менської міської територіальної громади)</w:t>
            </w:r>
            <w:r/>
          </w:p>
        </w:tc>
      </w:tr>
    </w:tbl>
    <w:p>
      <w:pPr>
        <w:pStyle w:val="894"/>
        <w:numPr>
          <w:ilvl w:val="0"/>
          <w:numId w:val="14"/>
        </w:numPr>
        <w:ind w:left="0" w:right="0" w:firstLine="0"/>
        <w:jc w:val="center"/>
        <w:spacing w:lineRule="auto" w:line="240" w:after="0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ПОЛОЖЕННЯ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боротьби з карантинним бур’яном – амброзією полинолистою на території Менської міської територіальної громади на 2024-2028 роки (далі – Програма) розроблена у відповідності до Законів України «Про карантин рослин» від 30.06.1993 №3348-</w:t>
      </w:r>
      <w:r>
        <w:rPr>
          <w:rFonts w:ascii="Times New Roman" w:hAnsi="Times New Roman" w:cs="Times New Roman"/>
          <w:sz w:val="28"/>
          <w:szCs w:val="28"/>
        </w:rPr>
        <w:t xml:space="preserve">XII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благоустрій населених пунктів» від 06.09.2005 №2807-І</w:t>
      </w:r>
      <w:r>
        <w:rPr>
          <w:rFonts w:ascii="Times New Roman" w:hAnsi="Times New Roman" w:cs="Times New Roman"/>
          <w:sz w:val="28"/>
          <w:szCs w:val="28"/>
        </w:rPr>
        <w:t xml:space="preserve"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захист рослин» від 14.10.1998 №180-</w:t>
      </w:r>
      <w:r>
        <w:rPr>
          <w:rFonts w:ascii="Times New Roman" w:hAnsi="Times New Roman" w:cs="Times New Roman"/>
          <w:sz w:val="28"/>
          <w:szCs w:val="28"/>
        </w:rPr>
        <w:t xml:space="preserve">XIV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охорону земель» від 19.06.2003 №962-І</w:t>
      </w:r>
      <w:r>
        <w:rPr>
          <w:rFonts w:ascii="Times New Roman" w:hAnsi="Times New Roman" w:cs="Times New Roman"/>
          <w:sz w:val="28"/>
          <w:szCs w:val="28"/>
        </w:rPr>
        <w:t xml:space="preserve"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розпорядження Корюківської районної військової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адміністрації від 22.06.2022 №64, Регіональної цільової програми боротьби з карантинним бур’яном – амброзією полинолистою в Чернігівській області на 2022-2026 роки, затвердженої рішенням 7 сесії 8 скликання Чернігівської обласної ради від 30.11.2021 №10-7/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VIII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комплексу заходів, направлених на локалізацію та ліквідацію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вогнищнебезпечного карантинного бур’яну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амброзії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полинолистої.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бур’янів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полинолиста приносить особливо великі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втрати в сільському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господарстві, при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злісним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бур’яном.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Рослини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величезну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пилку та насіння. Квітковий пилок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шкідливим для людиниі при вдиханні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викликає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алергійне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амброзійний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поліноз. Хвороба протікає 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різко вираженого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алергійного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риніту, кон’юктивіту, бронхіальної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астми, мігрені, кропивниці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супроводжується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знесиленням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організму.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алергії, спричиненої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пилком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амброзії, тривале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важке. Негативний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на довкілля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посилюється при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проникненні на необроблювані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трав’янистим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покривом. За відсутності, у більшості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випадків,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рослинності таких земель конкурентоздатних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рослин, виникають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найкращі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росту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карантинного бур’яну,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дорівнювати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декількох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тисяч на квадратному метрі, рослини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спроможні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накопичувати за вегетаційний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до 10 тонн/га фітомаси.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4"/>
        <w:numPr>
          <w:ilvl w:val="0"/>
          <w:numId w:val="14"/>
        </w:numPr>
        <w:ind w:left="0" w:right="0" w:firstLine="0"/>
        <w:jc w:val="center"/>
        <w:spacing w:lineRule="auto" w:line="240" w:after="0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 РОЗВ’ЯЗАННЯ ЯКИХ СПРЯМОВАНА ПРОГРАМА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Законом України «Про місцеве  самоврядування  в  Україні», Законом України «Про карантин рослин», у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неякісними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не проведенням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необхідного комплексу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небезпечним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нтинним  організмом,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полинолистою,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ширшого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у розробці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карантинним бур’яном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амброзією  полинолистою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Амброзія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полинолиста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засмічує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подвір’я та вулиці, присадибні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ділянки, сади, парк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городи, пустирі, узбіччя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доріг, залізничні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прилеглі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землі, береги річок та ставків. На полях амброзія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засмічує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посіви особливо просапних культур, ози</w:t>
      </w:r>
      <w:r>
        <w:rPr>
          <w:rFonts w:ascii="Times New Roman" w:hAnsi="Times New Roman" w:cs="Times New Roman"/>
          <w:sz w:val="28"/>
          <w:szCs w:val="28"/>
        </w:rPr>
        <w:t xml:space="preserve">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ярих культур, багаторічних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кормових трав, технічні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культури та полезахисні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смуги. 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повітря та вологості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ґрунту, високу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насіннєву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продуктивність (30-100тис.штук насіння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рослини), а також те, що пилок амброзії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 час цвітіння шкодить здоров’ю людей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тварин, все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свідчить про неабияку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небезпечність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амброзії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полинолистої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особливої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уваги та спеціальних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нею.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</w:rPr>
        <w:t xml:space="preserve">на небезпечність карантинного бур’яну, боротьба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амброзією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одним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пріоритетних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напрямків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розв’язання проблем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агропромислового комплексу району шляхом залучення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бюджетів.</w:t>
      </w:r>
      <w:r/>
    </w:p>
    <w:p>
      <w:pPr>
        <w:pStyle w:val="894"/>
        <w:numPr>
          <w:ilvl w:val="0"/>
          <w:numId w:val="14"/>
        </w:numPr>
        <w:ind w:left="0" w:right="0" w:firstLine="0"/>
        <w:jc w:val="center"/>
        <w:spacing w:lineRule="auto" w:line="240" w:after="0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ПРОГРАМИ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pStyle w:val="894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Впровадження комплексу ефективних заходів з виявлення та ліквідації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вогнищ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наявних карантинних організмів, у т.ч. амброзії полинолистої, на території Менської міської ТГ, в тому числі сільгоспугіддях та землях лісового фонду;</w:t>
      </w:r>
      <w:r/>
    </w:p>
    <w:p>
      <w:pPr>
        <w:pStyle w:val="894"/>
        <w:ind w:left="0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Зменшенні кількості випадків захворювань на алергію серед населення, пов’яз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аних із цвітінням амброзії, підвищенні ефективності виробництва сільськогосподарської продукції, посиленні уваги широких верств населення та громадськості до існуючої проблеми шляхом популяризації знань та роз’яснень щодо шкідливості бур’яну-алергену, прив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еденні в належний фітосанітарний, екологічний та естетичний стан території громади, забезпеченні контролю за виконанням та проведенням заходів проти карантинного бур’яну підприємствами, установами, організаціями незалежно від форм власності та громадянами.</w:t>
      </w:r>
      <w:r/>
    </w:p>
    <w:p>
      <w:pPr>
        <w:pStyle w:val="894"/>
        <w:ind w:left="0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4"/>
        <w:numPr>
          <w:ilvl w:val="0"/>
          <w:numId w:val="14"/>
        </w:numPr>
        <w:ind w:left="0" w:right="0" w:firstLine="0"/>
        <w:jc w:val="center"/>
        <w:spacing w:lineRule="auto" w:line="240" w:after="0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ТА ЗАХОДИ ПРОГРАМИ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щодо боротьби з наявними карантинними організмами в т. ч. амброзією полинолистою та придбання необхідної кількості спецінвентаря, спецтехніки та обладнання для забезпечення ефективної боротьби з ними.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площ вогнищ карантинних організмів шляхом застосування комплексу ефективних технологій та методів боротьби: агротехнічних, механічних і хімічних.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роз’яснювальної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населення, сільгоспвиробників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на виявлення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ними.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розповсюдження, факторів та місць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для запобігання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організмів, у т. ч. амброзії та бур’янів-алергенів.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адмінтериторій (населених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пунктів) підконтрольних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сільгоспугідь, земель лісового фонду та інших земель для вжиття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локалізації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організмів, у т. ч. амброзії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полинолистої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бур’янів-алергенів.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роз’яснювальну роботу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населення, сільгосп</w:t>
      </w:r>
      <w:r>
        <w:rPr>
          <w:rFonts w:ascii="Times New Roman" w:hAnsi="Times New Roman" w:cs="Times New Roman"/>
          <w:sz w:val="28"/>
          <w:szCs w:val="28"/>
        </w:rPr>
        <w:t xml:space="preserve">виробників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методики обстежень на виявлення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наявних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карантинних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ними.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  Щороку в червні та серпні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організовувати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міській</w:t>
      </w:r>
      <w:r>
        <w:rPr>
          <w:rFonts w:ascii="Times New Roman" w:hAnsi="Times New Roman" w:cs="Times New Roman"/>
          <w:sz w:val="28"/>
          <w:szCs w:val="28"/>
        </w:rPr>
        <w:t xml:space="preserve"> 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місячники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наявними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карантинними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бур’янами-алергенами, залучати до 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населення, підприємства, організації, установи та мобілізовувати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спецтехніку.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4"/>
        <w:numPr>
          <w:ilvl w:val="0"/>
          <w:numId w:val="14"/>
        </w:numPr>
        <w:ind w:left="0" w:right="0" w:firstLine="0"/>
        <w:jc w:val="center"/>
        <w:spacing w:lineRule="auto" w:line="240" w:after="0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ФІНАНСОВЕ ЗАБЕЗПЕЧЕННЯ ПРОГРАМИ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firstLine="993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обласного бюджету (50%) та бюджету Менської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(50%), виходячи з фінансових можливостей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джерел, не заборонених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законодавством.</w:t>
      </w:r>
      <w:r/>
    </w:p>
    <w:p>
      <w:pPr>
        <w:ind w:firstLine="993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94"/>
        <w:numPr>
          <w:ilvl w:val="0"/>
          <w:numId w:val="14"/>
        </w:numPr>
        <w:ind w:left="0" w:right="0" w:firstLine="0"/>
        <w:jc w:val="center"/>
        <w:spacing w:lineRule="auto" w:line="240" w:after="0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РЕАЛІЗАЦІЇ ЗАХОДІВ ПРОГРАМИ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pStyle w:val="894"/>
        <w:ind w:left="0"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передбачена шляхом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наведених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додатку 1 до Програми.</w:t>
      </w:r>
      <w:r/>
    </w:p>
    <w:p>
      <w:pPr>
        <w:pStyle w:val="894"/>
        <w:ind w:left="0" w:firstLine="720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hd w:val="nil" w:color="00000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spacing w:after="0" w:afterAutospacing="0"/>
        <w:shd w:val="nil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Начальник відділу земельних відносин,</w:t>
      </w:r>
      <w:r/>
    </w:p>
    <w:p>
      <w:pPr>
        <w:spacing w:after="0" w:afterAutospacing="0"/>
        <w:shd w:val="nil" w:color="00000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АПК та екології </w:t>
        <w:tab/>
        <w:t xml:space="preserve">Оксана СКИРТА</w:t>
      </w:r>
      <w:r/>
    </w:p>
    <w:p>
      <w:pPr>
        <w:shd w:val="nil" w:color="00000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ind w:left="566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</w:t>
      </w:r>
      <w:r/>
    </w:p>
    <w:p>
      <w:pPr>
        <w:ind w:left="566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боротьби з карантинним бур’яном – амброзією полинолистою на території Менської міської територіальної громади на 2024-2028 роки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заходів та обсягів фінансування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карантинним бур’яном – </w:t>
      </w:r>
      <w:r>
        <w:rPr>
          <w:rFonts w:ascii="Times New Roman" w:hAnsi="Times New Roman" w:cs="Times New Roman"/>
          <w:sz w:val="28"/>
          <w:szCs w:val="28"/>
        </w:rPr>
        <w:t xml:space="preserve">амброзією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полинолистою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 на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95"/>
        <w:tblW w:w="0" w:type="auto"/>
        <w:tblInd w:w="-176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43"/>
        <w:gridCol w:w="993"/>
        <w:gridCol w:w="850"/>
        <w:gridCol w:w="1417"/>
        <w:gridCol w:w="1276"/>
        <w:gridCol w:w="1101"/>
      </w:tblGrid>
      <w:tr>
        <w:trPr>
          <w:trHeight w:val="2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№</w:t>
            </w:r>
            <w:r>
              <w:rPr>
                <w:sz w:val="16"/>
              </w:rPr>
            </w:r>
          </w:p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з/п</w:t>
            </w:r>
            <w:r>
              <w:rPr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Найменування заходу</w:t>
            </w:r>
            <w:r>
              <w:rPr>
                <w:sz w:val="16"/>
              </w:rPr>
            </w:r>
          </w:p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>
              <w:rPr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Виконавець</w:t>
            </w:r>
            <w:r>
              <w:rPr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Термін виконання</w:t>
            </w:r>
            <w:r>
              <w:rPr>
                <w:sz w:val="16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Орієнтовні обсяги фінансування, тис. грн</w:t>
            </w:r>
            <w:r>
              <w:rPr>
                <w:sz w:val="1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рік</w:t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Обласний бюджет</w:t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Бюджет Менської міської ради</w:t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rPr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Всього</w:t>
            </w:r>
            <w:r>
              <w:rPr>
                <w:sz w:val="16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палива на механізоване скошування бур’янів, оплата праці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Align w:val="top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Територіальна громада, землевласники та землекористу-вачі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2024-2028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2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1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2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гербіцидів, палива для проведення обприскування, оплата праці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Align w:val="top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Територіальна громада, землевласники та землекористу-вачі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2024-2028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26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1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>
          <w:trHeight w:val="1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10,00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Align w:val="top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50,00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50,00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1" w:type="dxa"/>
            <w:vAlign w:val="center"/>
            <w:textDirection w:val="lrTb"/>
            <w:noWrap w:val="false"/>
          </w:tcPr>
          <w:p>
            <w:pPr>
              <w:ind w:left="0" w:right="-1" w:firstLine="0"/>
              <w:jc w:val="center"/>
              <w:spacing w:after="0" w:before="0"/>
              <w:tabs>
                <w:tab w:val="left" w:pos="96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100,00</w:t>
            </w:r>
            <w:r/>
          </w:p>
        </w:tc>
      </w:tr>
    </w:tbl>
    <w:p>
      <w:r/>
      <w:r/>
    </w:p>
    <w:p>
      <w:r/>
      <w:r/>
    </w:p>
    <w:p>
      <w:pPr>
        <w:spacing w:after="0" w:afterAutospacing="0"/>
        <w:shd w:val="nil" w:color="000000"/>
        <w:rPr>
          <w:rFonts w:ascii="Times New Roman" w:hAnsi="Times New Roman" w:cs="Times New Roman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Начальник відділу земельних відносин,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spacing w:after="0" w:afterAutospacing="0"/>
        <w:shd w:val="nil" w:color="000000"/>
        <w:tabs>
          <w:tab w:val="left" w:pos="6803" w:leader="none"/>
        </w:tabs>
        <w:rPr>
          <w:rFonts w:ascii="Times New Roman" w:hAnsi="Times New Roman" w:cs="Times New Roman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АПК та екології </w:t>
        <w:tab/>
        <w:t xml:space="preserve">Оксана СКИРТА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продовження додатка</w:t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Title Char"/>
    <w:basedOn w:val="715"/>
    <w:link w:val="737"/>
    <w:uiPriority w:val="10"/>
    <w:rPr>
      <w:sz w:val="48"/>
      <w:szCs w:val="48"/>
    </w:rPr>
  </w:style>
  <w:style w:type="character" w:styleId="709">
    <w:name w:val="Subtitle Char"/>
    <w:basedOn w:val="715"/>
    <w:link w:val="739"/>
    <w:uiPriority w:val="11"/>
    <w:rPr>
      <w:sz w:val="24"/>
      <w:szCs w:val="24"/>
    </w:rPr>
  </w:style>
  <w:style w:type="character" w:styleId="710">
    <w:name w:val="Quote Char"/>
    <w:link w:val="741"/>
    <w:uiPriority w:val="29"/>
    <w:rPr>
      <w:i/>
    </w:rPr>
  </w:style>
  <w:style w:type="character" w:styleId="711">
    <w:name w:val="Intense Quote Char"/>
    <w:link w:val="743"/>
    <w:uiPriority w:val="30"/>
    <w:rPr>
      <w:i/>
    </w:rPr>
  </w:style>
  <w:style w:type="character" w:styleId="712">
    <w:name w:val="Footnote Text Char"/>
    <w:link w:val="877"/>
    <w:uiPriority w:val="99"/>
    <w:rPr>
      <w:sz w:val="18"/>
    </w:rPr>
  </w:style>
  <w:style w:type="character" w:styleId="713">
    <w:name w:val="Endnote Text Char"/>
    <w:link w:val="880"/>
    <w:uiPriority w:val="99"/>
    <w:rPr>
      <w:sz w:val="20"/>
    </w:r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 w:customStyle="1">
    <w:name w:val="Heading 1"/>
    <w:basedOn w:val="714"/>
    <w:next w:val="714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19" w:customStyle="1">
    <w:name w:val="Heading 1 Char"/>
    <w:basedOn w:val="715"/>
    <w:link w:val="718"/>
    <w:uiPriority w:val="9"/>
    <w:rPr>
      <w:rFonts w:ascii="Arial" w:hAnsi="Arial" w:cs="Arial" w:eastAsia="Arial"/>
      <w:sz w:val="40"/>
      <w:szCs w:val="40"/>
    </w:rPr>
  </w:style>
  <w:style w:type="paragraph" w:styleId="720" w:customStyle="1">
    <w:name w:val="Heading 2"/>
    <w:basedOn w:val="714"/>
    <w:next w:val="714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21" w:customStyle="1">
    <w:name w:val="Heading 2 Char"/>
    <w:basedOn w:val="715"/>
    <w:link w:val="720"/>
    <w:uiPriority w:val="9"/>
    <w:rPr>
      <w:rFonts w:ascii="Arial" w:hAnsi="Arial" w:cs="Arial" w:eastAsia="Arial"/>
      <w:sz w:val="34"/>
    </w:rPr>
  </w:style>
  <w:style w:type="paragraph" w:styleId="722" w:customStyle="1">
    <w:name w:val="Heading 3"/>
    <w:basedOn w:val="714"/>
    <w:next w:val="714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23" w:customStyle="1">
    <w:name w:val="Heading 3 Char"/>
    <w:basedOn w:val="715"/>
    <w:link w:val="722"/>
    <w:uiPriority w:val="9"/>
    <w:rPr>
      <w:rFonts w:ascii="Arial" w:hAnsi="Arial" w:cs="Arial" w:eastAsia="Arial"/>
      <w:sz w:val="30"/>
      <w:szCs w:val="30"/>
    </w:rPr>
  </w:style>
  <w:style w:type="paragraph" w:styleId="724" w:customStyle="1">
    <w:name w:val="Heading 4"/>
    <w:basedOn w:val="714"/>
    <w:next w:val="714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25" w:customStyle="1">
    <w:name w:val="Heading 4 Char"/>
    <w:basedOn w:val="715"/>
    <w:link w:val="724"/>
    <w:uiPriority w:val="9"/>
    <w:rPr>
      <w:rFonts w:ascii="Arial" w:hAnsi="Arial" w:cs="Arial" w:eastAsia="Arial"/>
      <w:b/>
      <w:bCs/>
      <w:sz w:val="26"/>
      <w:szCs w:val="26"/>
    </w:rPr>
  </w:style>
  <w:style w:type="paragraph" w:styleId="726" w:customStyle="1">
    <w:name w:val="Heading 5"/>
    <w:basedOn w:val="714"/>
    <w:next w:val="714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27" w:customStyle="1">
    <w:name w:val="Heading 5 Char"/>
    <w:basedOn w:val="715"/>
    <w:link w:val="726"/>
    <w:uiPriority w:val="9"/>
    <w:rPr>
      <w:rFonts w:ascii="Arial" w:hAnsi="Arial" w:cs="Arial" w:eastAsia="Arial"/>
      <w:b/>
      <w:bCs/>
      <w:sz w:val="24"/>
      <w:szCs w:val="24"/>
    </w:rPr>
  </w:style>
  <w:style w:type="paragraph" w:styleId="728" w:customStyle="1">
    <w:name w:val="Heading 6"/>
    <w:basedOn w:val="714"/>
    <w:next w:val="714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29" w:customStyle="1">
    <w:name w:val="Heading 6 Char"/>
    <w:basedOn w:val="715"/>
    <w:link w:val="728"/>
    <w:uiPriority w:val="9"/>
    <w:rPr>
      <w:rFonts w:ascii="Arial" w:hAnsi="Arial" w:cs="Arial" w:eastAsia="Arial"/>
      <w:b/>
      <w:bCs/>
      <w:sz w:val="22"/>
      <w:szCs w:val="22"/>
    </w:rPr>
  </w:style>
  <w:style w:type="paragraph" w:styleId="730" w:customStyle="1">
    <w:name w:val="Heading 7"/>
    <w:basedOn w:val="714"/>
    <w:next w:val="714"/>
    <w:link w:val="7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31" w:customStyle="1">
    <w:name w:val="Heading 7 Char"/>
    <w:basedOn w:val="715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2" w:customStyle="1">
    <w:name w:val="Heading 8"/>
    <w:basedOn w:val="714"/>
    <w:next w:val="714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33" w:customStyle="1">
    <w:name w:val="Heading 8 Char"/>
    <w:basedOn w:val="715"/>
    <w:link w:val="732"/>
    <w:uiPriority w:val="9"/>
    <w:rPr>
      <w:rFonts w:ascii="Arial" w:hAnsi="Arial" w:cs="Arial" w:eastAsia="Arial"/>
      <w:i/>
      <w:iCs/>
      <w:sz w:val="22"/>
      <w:szCs w:val="22"/>
    </w:rPr>
  </w:style>
  <w:style w:type="paragraph" w:styleId="734" w:customStyle="1">
    <w:name w:val="Heading 9"/>
    <w:basedOn w:val="714"/>
    <w:next w:val="714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5" w:customStyle="1">
    <w:name w:val="Heading 9 Char"/>
    <w:basedOn w:val="715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4"/>
    <w:next w:val="714"/>
    <w:link w:val="7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ние Знак"/>
    <w:basedOn w:val="715"/>
    <w:link w:val="737"/>
    <w:uiPriority w:val="10"/>
    <w:rPr>
      <w:sz w:val="48"/>
      <w:szCs w:val="48"/>
    </w:rPr>
  </w:style>
  <w:style w:type="paragraph" w:styleId="739">
    <w:name w:val="Subtitle"/>
    <w:basedOn w:val="714"/>
    <w:next w:val="714"/>
    <w:link w:val="740"/>
    <w:qFormat/>
    <w:uiPriority w:val="11"/>
    <w:rPr>
      <w:sz w:val="24"/>
      <w:szCs w:val="24"/>
    </w:rPr>
    <w:pPr>
      <w:spacing w:before="200"/>
    </w:pPr>
  </w:style>
  <w:style w:type="character" w:styleId="740" w:customStyle="1">
    <w:name w:val="Подзаголовок Знак"/>
    <w:basedOn w:val="715"/>
    <w:link w:val="739"/>
    <w:uiPriority w:val="11"/>
    <w:rPr>
      <w:sz w:val="24"/>
      <w:szCs w:val="24"/>
    </w:rPr>
  </w:style>
  <w:style w:type="paragraph" w:styleId="741">
    <w:name w:val="Quote"/>
    <w:basedOn w:val="714"/>
    <w:next w:val="714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4"/>
    <w:next w:val="714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paragraph" w:styleId="745" w:customStyle="1">
    <w:name w:val="Header"/>
    <w:basedOn w:val="714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Header Char"/>
    <w:basedOn w:val="715"/>
    <w:link w:val="745"/>
    <w:uiPriority w:val="99"/>
  </w:style>
  <w:style w:type="paragraph" w:styleId="747" w:customStyle="1">
    <w:name w:val="Footer"/>
    <w:basedOn w:val="714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15"/>
    <w:link w:val="747"/>
    <w:uiPriority w:val="99"/>
  </w:style>
  <w:style w:type="paragraph" w:styleId="749" w:customStyle="1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0" w:customStyle="1">
    <w:name w:val="Caption Char"/>
    <w:link w:val="747"/>
    <w:uiPriority w:val="99"/>
  </w:style>
  <w:style w:type="table" w:styleId="751" w:customStyle="1">
    <w:name w:val="Table Grid Light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Lined - Accent 2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Lined - Accent 3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Lined - Accent 4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Lined - Accent 5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Lined - Accent 6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 &amp; Lined - Accent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Bordered &amp; Lined - Accent 2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Bordered &amp; Lined - Accent 3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Bordered &amp; Lined - Accent 4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Bordered &amp; Lined - Accent 5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Bordered &amp; Lined - Accent 6"/>
    <w:basedOn w:val="7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1" w:customStyle="1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2" w:customStyle="1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3" w:customStyle="1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4" w:customStyle="1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5" w:customStyle="1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14"/>
    <w:link w:val="878"/>
    <w:uiPriority w:val="99"/>
    <w:semiHidden/>
    <w:unhideWhenUsed/>
    <w:rPr>
      <w:sz w:val="18"/>
    </w:rPr>
    <w:pPr>
      <w:spacing w:lineRule="auto" w:line="240"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5"/>
    <w:uiPriority w:val="99"/>
    <w:unhideWhenUsed/>
    <w:rPr>
      <w:vertAlign w:val="superscript"/>
    </w:rPr>
  </w:style>
  <w:style w:type="paragraph" w:styleId="880">
    <w:name w:val="endnote text"/>
    <w:basedOn w:val="714"/>
    <w:link w:val="881"/>
    <w:uiPriority w:val="99"/>
    <w:semiHidden/>
    <w:unhideWhenUsed/>
    <w:rPr>
      <w:sz w:val="20"/>
    </w:rPr>
    <w:pPr>
      <w:spacing w:lineRule="auto" w:line="240" w:after="0"/>
    </w:p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15"/>
    <w:uiPriority w:val="99"/>
    <w:semiHidden/>
    <w:unhideWhenUsed/>
    <w:rPr>
      <w:vertAlign w:val="superscript"/>
    </w:rPr>
  </w:style>
  <w:style w:type="paragraph" w:styleId="883">
    <w:name w:val="toc 1"/>
    <w:basedOn w:val="714"/>
    <w:next w:val="714"/>
    <w:uiPriority w:val="39"/>
    <w:unhideWhenUsed/>
    <w:pPr>
      <w:spacing w:after="57"/>
    </w:pPr>
  </w:style>
  <w:style w:type="paragraph" w:styleId="884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5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6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7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88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89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90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91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4"/>
    <w:next w:val="714"/>
    <w:uiPriority w:val="99"/>
    <w:unhideWhenUsed/>
    <w:pPr>
      <w:spacing w:after="0"/>
    </w:pPr>
  </w:style>
  <w:style w:type="paragraph" w:styleId="894">
    <w:name w:val="List Paragraph"/>
    <w:basedOn w:val="714"/>
    <w:qFormat/>
    <w:uiPriority w:val="34"/>
    <w:pPr>
      <w:contextualSpacing w:val="true"/>
      <w:ind w:left="720"/>
    </w:pPr>
  </w:style>
  <w:style w:type="table" w:styleId="895">
    <w:name w:val="Table Grid"/>
    <w:uiPriority w:val="39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40</cp:revision>
  <dcterms:created xsi:type="dcterms:W3CDTF">2023-12-01T07:58:00Z</dcterms:created>
  <dcterms:modified xsi:type="dcterms:W3CDTF">2023-12-21T17:43:47Z</dcterms:modified>
</cp:coreProperties>
</file>