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pStyle w:val="920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pStyle w:val="920"/>
        <w:jc w:val="center"/>
        <w:rPr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b/>
          <w:color w:val="000000"/>
          <w:sz w:val="28"/>
          <w:lang w:val="uk-UA"/>
        </w:rPr>
        <w:t xml:space="preserve">(сорок третя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pStyle w:val="92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21 грудня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725</w:t>
      </w:r>
      <w:r>
        <w:rPr>
          <w:sz w:val="28"/>
        </w:rPr>
      </w:r>
    </w:p>
    <w:p>
      <w:pPr>
        <w:jc w:val="center"/>
        <w:widowControl w:val="off"/>
        <w:rPr>
          <w:b/>
          <w:color w:val="000000"/>
          <w:sz w:val="16"/>
          <w:szCs w:val="28"/>
          <w:lang w:bidi="hi-IN" w:eastAsia="hi-IN"/>
        </w:rPr>
      </w:pPr>
      <w:r>
        <w:rPr>
          <w:b/>
          <w:color w:val="000000"/>
          <w:sz w:val="16"/>
          <w:lang w:bidi="hi-IN" w:eastAsia="hi-IN"/>
        </w:rPr>
      </w:r>
      <w:r>
        <w:rPr>
          <w:b/>
          <w:color w:val="000000"/>
          <w:sz w:val="16"/>
          <w:lang w:bidi="hi-IN" w:eastAsia="hi-IN"/>
        </w:rPr>
      </w:r>
    </w:p>
    <w:p>
      <w:pPr>
        <w:pStyle w:val="921"/>
        <w:ind w:right="5669"/>
        <w:jc w:val="both"/>
        <w:tabs>
          <w:tab w:val="left" w:pos="3969" w:leader="none"/>
          <w:tab w:val="left" w:pos="4252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>
        <w:rPr>
          <w:sz w:val="28"/>
        </w:rPr>
      </w:r>
    </w:p>
    <w:p>
      <w:pPr>
        <w:jc w:val="center"/>
        <w:widowControl w:val="off"/>
        <w:rPr>
          <w:b/>
          <w:color w:val="000000"/>
          <w:sz w:val="16"/>
          <w:lang w:bidi="hi-IN" w:eastAsia="hi-IN"/>
        </w:rPr>
      </w:pPr>
      <w:r>
        <w:rPr>
          <w:b/>
          <w:color w:val="000000"/>
          <w:sz w:val="16"/>
          <w:lang w:bidi="hi-IN" w:eastAsia="hi-IN"/>
        </w:rPr>
      </w:r>
      <w:r>
        <w:rPr>
          <w:b/>
          <w:color w:val="000000"/>
          <w:sz w:val="16"/>
          <w:lang w:bidi="hi-IN" w:eastAsia="hi-IN"/>
        </w:rPr>
      </w:r>
    </w:p>
    <w:p>
      <w:pPr>
        <w:pStyle w:val="921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</w:t>
      </w:r>
      <w:r>
        <w:rPr>
          <w:rFonts w:ascii="Times New Roman" w:hAnsi="Times New Roman"/>
          <w:sz w:val="28"/>
        </w:rPr>
        <w:t xml:space="preserve">проєктно-технічної</w:t>
      </w:r>
      <w:r>
        <w:rPr>
          <w:rFonts w:ascii="Times New Roman" w:hAnsi="Times New Roman"/>
          <w:sz w:val="28"/>
        </w:rPr>
        <w:t xml:space="preserve">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</w:t>
      </w:r>
      <w:r>
        <w:rPr>
          <w:rFonts w:ascii="Times New Roman" w:hAnsi="Times New Roman"/>
          <w:sz w:val="28"/>
          <w:szCs w:val="28"/>
        </w:rPr>
        <w:t xml:space="preserve"> КСП «Великий Жовтень» за межами с. Покровське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КСП «Іскра» за межами с. Ліски, КСП ім. Куйбишева за межами с. Дягова, КСГП “Зоря” за межами с. Семенівка, КСП ім. Щорса за межами с. Блистова, </w:t>
      </w:r>
      <w:r>
        <w:rPr>
          <w:rFonts w:ascii="Times New Roman" w:hAnsi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9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>
        <w:rPr>
          <w:sz w:val="28"/>
        </w:rPr>
      </w:r>
    </w:p>
    <w:p>
      <w:pPr>
        <w:pStyle w:val="922"/>
        <w:ind w:left="360" w:firstLine="0"/>
        <w:jc w:val="both"/>
        <w:spacing w:after="0" w:afterAutospacing="0" w:before="0" w:beforeAutospacing="0"/>
        <w:tabs>
          <w:tab w:val="left" w:pos="426" w:leader="none"/>
        </w:tabs>
        <w:rPr>
          <w:color w:val="000000" w:themeColor="text1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 xml:space="preserve">межами </w:t>
      </w:r>
      <w:r>
        <w:rPr>
          <w:color w:val="000000" w:themeColor="text1"/>
          <w:sz w:val="28"/>
          <w:szCs w:val="28"/>
        </w:rPr>
        <w:t xml:space="preserve">с. Покровське</w:t>
      </w:r>
      <w:r>
        <w:rPr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</w:rPr>
      </w:r>
    </w:p>
    <w:p>
      <w:pPr>
        <w:pStyle w:val="922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Тенюта</w:t>
      </w:r>
      <w:r>
        <w:rPr>
          <w:color w:val="000000" w:themeColor="text1"/>
          <w:sz w:val="28"/>
          <w:szCs w:val="28"/>
          <w:lang w:val="uk-UA"/>
        </w:rPr>
        <w:t xml:space="preserve"> Олександр Федорович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ЧН №0</w:t>
      </w:r>
      <w:r>
        <w:rPr>
          <w:color w:val="000000"/>
          <w:sz w:val="28"/>
          <w:szCs w:val="28"/>
          <w:lang w:val="uk-UA"/>
        </w:rPr>
        <w:t xml:space="preserve">271475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законом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uk-UA"/>
        </w:rPr>
        <w:t xml:space="preserve">30</w:t>
      </w:r>
      <w:r>
        <w:rPr>
          <w:color w:val="000000" w:themeColor="text1"/>
          <w:sz w:val="28"/>
        </w:rPr>
        <w:t xml:space="preserve">.</w:t>
      </w:r>
      <w:r>
        <w:rPr>
          <w:color w:val="000000" w:themeColor="text1"/>
          <w:sz w:val="28"/>
          <w:lang w:val="uk-UA"/>
        </w:rPr>
        <w:t xml:space="preserve">11</w:t>
      </w:r>
      <w:r>
        <w:rPr>
          <w:color w:val="000000" w:themeColor="text1"/>
          <w:sz w:val="28"/>
        </w:rPr>
        <w:t xml:space="preserve">.202</w:t>
      </w:r>
      <w:r>
        <w:rPr>
          <w:color w:val="000000" w:themeColor="text1"/>
          <w:sz w:val="28"/>
          <w:lang w:val="uk-UA"/>
        </w:rPr>
        <w:t xml:space="preserve">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</w:t>
      </w:r>
      <w:r>
        <w:rPr>
          <w:color w:val="000000" w:themeColor="text1"/>
          <w:sz w:val="28"/>
          <w:lang w:val="uk-UA"/>
        </w:rPr>
        <w:t xml:space="preserve">1900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  <w:lang w:val="uk-UA"/>
        </w:rPr>
        <w:t xml:space="preserve">167</w:t>
      </w:r>
      <w:r>
        <w:rPr>
          <w:color w:val="000000" w:themeColor="text1"/>
          <w:sz w:val="28"/>
        </w:rPr>
        <w:t xml:space="preserve">/20</w:t>
      </w:r>
      <w:r>
        <w:rPr>
          <w:color w:val="000000" w:themeColor="text1"/>
          <w:sz w:val="28"/>
          <w:lang w:val="uk-UA"/>
        </w:rPr>
        <w:t xml:space="preserve">21</w:t>
      </w:r>
      <w:r>
        <w:rPr>
          <w:color w:val="000000" w:themeColor="text1"/>
          <w:sz w:val="28"/>
        </w:rPr>
        <w:t xml:space="preserve">;</w:t>
      </w:r>
      <w:r>
        <w:rPr>
          <w:sz w:val="28"/>
        </w:rPr>
      </w:r>
    </w:p>
    <w:p>
      <w:pPr>
        <w:pStyle w:val="922"/>
        <w:ind w:left="360" w:firstLine="0"/>
        <w:jc w:val="both"/>
        <w:spacing w:after="0" w:afterAutospacing="0" w:before="0" w:beforeAutospacing="0"/>
        <w:tabs>
          <w:tab w:val="left" w:pos="426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 xml:space="preserve">межами </w:t>
      </w:r>
      <w:r>
        <w:rPr>
          <w:color w:val="000000" w:themeColor="text1"/>
          <w:sz w:val="28"/>
          <w:szCs w:val="28"/>
        </w:rPr>
        <w:t xml:space="preserve">с. </w:t>
      </w:r>
      <w:r>
        <w:rPr>
          <w:color w:val="000000" w:themeColor="text1"/>
          <w:sz w:val="28"/>
          <w:szCs w:val="28"/>
          <w:lang w:val="uk-UA"/>
        </w:rPr>
        <w:t xml:space="preserve">Ліски</w:t>
      </w:r>
      <w:r>
        <w:rPr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  <w:sz w:val="28"/>
        </w:rPr>
      </w:r>
    </w:p>
    <w:p>
      <w:pPr>
        <w:pStyle w:val="922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Руденко Сергій Миколайович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ЧН №0</w:t>
      </w:r>
      <w:r>
        <w:rPr>
          <w:color w:val="000000"/>
          <w:sz w:val="28"/>
          <w:szCs w:val="28"/>
          <w:lang w:val="uk-UA"/>
        </w:rPr>
        <w:t xml:space="preserve">101612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законом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uk-UA"/>
        </w:rPr>
        <w:t xml:space="preserve">27</w:t>
      </w:r>
      <w:r>
        <w:rPr>
          <w:color w:val="000000" w:themeColor="text1"/>
          <w:sz w:val="28"/>
        </w:rPr>
        <w:t xml:space="preserve">.</w:t>
      </w:r>
      <w:r>
        <w:rPr>
          <w:color w:val="000000" w:themeColor="text1"/>
          <w:sz w:val="28"/>
          <w:lang w:val="uk-UA"/>
        </w:rPr>
        <w:t xml:space="preserve">11</w:t>
      </w:r>
      <w:r>
        <w:rPr>
          <w:color w:val="000000" w:themeColor="text1"/>
          <w:sz w:val="28"/>
        </w:rPr>
        <w:t xml:space="preserve">.202</w:t>
      </w:r>
      <w:r>
        <w:rPr>
          <w:color w:val="000000" w:themeColor="text1"/>
          <w:sz w:val="28"/>
          <w:lang w:val="uk-UA"/>
        </w:rPr>
        <w:t xml:space="preserve">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</w:t>
      </w:r>
      <w:r>
        <w:rPr>
          <w:color w:val="000000" w:themeColor="text1"/>
          <w:sz w:val="28"/>
          <w:lang w:val="uk-UA"/>
        </w:rPr>
        <w:t xml:space="preserve">3294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  <w:lang w:val="uk-UA"/>
        </w:rPr>
        <w:t xml:space="preserve">367</w:t>
      </w:r>
      <w:r>
        <w:rPr>
          <w:color w:val="000000" w:themeColor="text1"/>
          <w:sz w:val="28"/>
        </w:rPr>
        <w:t xml:space="preserve">/20</w:t>
      </w:r>
      <w:r>
        <w:rPr>
          <w:color w:val="000000" w:themeColor="text1"/>
          <w:sz w:val="28"/>
          <w:lang w:val="uk-UA"/>
        </w:rPr>
        <w:t xml:space="preserve">23</w:t>
      </w:r>
      <w:r>
        <w:rPr>
          <w:color w:val="000000" w:themeColor="text1"/>
          <w:sz w:val="28"/>
        </w:rPr>
        <w:t xml:space="preserve">;</w:t>
      </w:r>
      <w:r>
        <w:rPr>
          <w:sz w:val="28"/>
        </w:rPr>
      </w:r>
    </w:p>
    <w:p>
      <w:pPr>
        <w:pStyle w:val="922"/>
        <w:ind w:left="360" w:firstLine="0"/>
        <w:jc w:val="both"/>
        <w:spacing w:after="0" w:afterAutospacing="0" w:before="0" w:beforeAutospacing="0"/>
        <w:tabs>
          <w:tab w:val="left" w:pos="426" w:leader="none"/>
        </w:tabs>
        <w:rPr>
          <w:color w:val="000000" w:themeColor="text1"/>
          <w:sz w:val="28"/>
          <w:szCs w:val="28"/>
        </w:rPr>
        <w:suppressLineNumbers w:val="0"/>
      </w:pPr>
      <w:r>
        <w:rPr>
          <w:color w:val="000000" w:themeColor="text1"/>
          <w:sz w:val="28"/>
        </w:rPr>
      </w:r>
      <w:r>
        <w:rPr>
          <w:color w:val="000000" w:themeColor="text1"/>
          <w:sz w:val="28"/>
          <w:szCs w:val="28"/>
        </w:rPr>
        <w:t xml:space="preserve">за межами с. </w:t>
      </w:r>
      <w:r>
        <w:rPr>
          <w:color w:val="000000" w:themeColor="text1"/>
          <w:sz w:val="28"/>
          <w:szCs w:val="28"/>
        </w:rPr>
        <w:t xml:space="preserve">Дягова:</w:t>
      </w: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</w:p>
    <w:p>
      <w:pPr>
        <w:pStyle w:val="922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</w:rPr>
      </w:pPr>
      <w:r>
        <w:rPr>
          <w:color w:val="000000" w:themeColor="text1"/>
          <w:sz w:val="28"/>
          <w:szCs w:val="28"/>
          <w:lang w:val="uk-UA"/>
        </w:rPr>
        <w:t xml:space="preserve">Пономаренко Сергій Олександрович – </w:t>
      </w:r>
      <w:r>
        <w:rPr>
          <w:color w:val="000000"/>
          <w:sz w:val="28"/>
          <w:szCs w:val="28"/>
          <w:lang w:val="uk-UA"/>
        </w:rPr>
        <w:t xml:space="preserve">ЧН №0</w:t>
      </w:r>
      <w:r>
        <w:rPr>
          <w:color w:val="000000"/>
          <w:sz w:val="28"/>
          <w:szCs w:val="28"/>
          <w:lang w:val="uk-UA"/>
        </w:rPr>
        <w:t xml:space="preserve">278679 -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законом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13.</w:t>
      </w:r>
      <w:r>
        <w:rPr>
          <w:color w:val="000000" w:themeColor="text1"/>
          <w:sz w:val="28"/>
          <w:lang w:val="uk-UA"/>
        </w:rPr>
        <w:t xml:space="preserve">12</w:t>
      </w:r>
      <w:r>
        <w:rPr>
          <w:color w:val="000000" w:themeColor="text1"/>
          <w:sz w:val="28"/>
        </w:rPr>
        <w:t xml:space="preserve">.202</w:t>
      </w:r>
      <w:r>
        <w:rPr>
          <w:color w:val="000000" w:themeColor="text1"/>
          <w:sz w:val="28"/>
          <w:lang w:val="uk-UA"/>
        </w:rPr>
        <w:t xml:space="preserve">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</w:t>
      </w:r>
      <w:r>
        <w:rPr>
          <w:color w:val="000000" w:themeColor="text1"/>
          <w:sz w:val="28"/>
          <w:lang w:val="uk-UA"/>
        </w:rPr>
        <w:t xml:space="preserve">3540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</w:rPr>
        <w:t xml:space="preserve">423/20</w:t>
      </w:r>
      <w:r>
        <w:rPr>
          <w:color w:val="000000" w:themeColor="text1"/>
          <w:sz w:val="28"/>
          <w:lang w:val="uk-UA"/>
        </w:rPr>
        <w:t xml:space="preserve">23</w:t>
      </w:r>
      <w:r>
        <w:rPr>
          <w:color w:val="000000" w:themeColor="text1"/>
          <w:sz w:val="28"/>
        </w:rPr>
        <w:t xml:space="preserve">;</w:t>
      </w:r>
      <w:r>
        <w:rPr>
          <w:color w:val="000000"/>
          <w:sz w:val="28"/>
          <w:szCs w:val="28"/>
          <w:lang w:val="uk-UA"/>
        </w:rPr>
      </w:r>
      <w:r>
        <w:rPr>
          <w:sz w:val="28"/>
        </w:rPr>
      </w:r>
    </w:p>
    <w:p>
      <w:pPr>
        <w:pStyle w:val="922"/>
        <w:ind w:left="360" w:firstLine="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highlight w:val="none"/>
        </w:rPr>
      </w:r>
      <w:r>
        <w:rPr>
          <w:color w:val="000000" w:themeColor="text1"/>
          <w:sz w:val="28"/>
          <w:szCs w:val="28"/>
        </w:rPr>
        <w:t xml:space="preserve">за межами с. </w:t>
      </w:r>
      <w:r>
        <w:rPr>
          <w:color w:val="000000" w:themeColor="text1"/>
          <w:sz w:val="28"/>
          <w:szCs w:val="28"/>
        </w:rPr>
        <w:t xml:space="preserve">Семенівка:</w:t>
      </w:r>
      <w:r>
        <w:rPr>
          <w:color w:val="000000" w:themeColor="text1"/>
          <w:sz w:val="28"/>
          <w:highlight w:val="none"/>
        </w:rPr>
      </w:r>
      <w:r>
        <w:rPr>
          <w:sz w:val="28"/>
        </w:rPr>
      </w:r>
    </w:p>
    <w:p>
      <w:pPr>
        <w:pStyle w:val="922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</w:rPr>
      </w:pPr>
      <w:r>
        <w:rPr>
          <w:color w:val="000000" w:themeColor="text1"/>
          <w:sz w:val="28"/>
          <w:szCs w:val="28"/>
          <w:lang w:val="uk-UA"/>
        </w:rPr>
        <w:t xml:space="preserve">Товстопят Яна Борисівна – </w:t>
      </w:r>
      <w:r>
        <w:rPr>
          <w:color w:val="000000"/>
          <w:sz w:val="28"/>
          <w:szCs w:val="28"/>
          <w:lang w:val="uk-UA"/>
        </w:rPr>
        <w:t xml:space="preserve">ЧН №0</w:t>
      </w:r>
      <w:r>
        <w:rPr>
          <w:color w:val="000000"/>
          <w:sz w:val="28"/>
          <w:szCs w:val="28"/>
          <w:lang w:val="uk-UA"/>
        </w:rPr>
        <w:t xml:space="preserve">223604 -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законом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11.</w:t>
      </w:r>
      <w:r>
        <w:rPr>
          <w:color w:val="000000" w:themeColor="text1"/>
          <w:sz w:val="28"/>
          <w:lang w:val="uk-UA"/>
        </w:rPr>
        <w:t xml:space="preserve">12</w:t>
      </w:r>
      <w:r>
        <w:rPr>
          <w:color w:val="000000" w:themeColor="text1"/>
          <w:sz w:val="28"/>
        </w:rPr>
        <w:t xml:space="preserve">.202</w:t>
      </w:r>
      <w:r>
        <w:rPr>
          <w:color w:val="000000" w:themeColor="text1"/>
          <w:sz w:val="28"/>
          <w:lang w:val="uk-UA"/>
        </w:rPr>
        <w:t xml:space="preserve">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</w:t>
      </w:r>
      <w:r>
        <w:rPr>
          <w:color w:val="000000" w:themeColor="text1"/>
          <w:sz w:val="28"/>
          <w:lang w:val="uk-UA"/>
        </w:rPr>
        <w:t xml:space="preserve">3498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  <w:lang w:val="uk-UA"/>
        </w:rPr>
        <w:t xml:space="preserve">365</w:t>
      </w:r>
      <w:r>
        <w:rPr>
          <w:color w:val="000000" w:themeColor="text1"/>
          <w:sz w:val="28"/>
        </w:rPr>
        <w:t xml:space="preserve">/20</w:t>
      </w:r>
      <w:r>
        <w:rPr>
          <w:color w:val="000000" w:themeColor="text1"/>
          <w:sz w:val="28"/>
          <w:lang w:val="uk-UA"/>
        </w:rPr>
        <w:t xml:space="preserve">23</w:t>
      </w:r>
      <w:r>
        <w:rPr>
          <w:color w:val="000000"/>
          <w:sz w:val="28"/>
          <w:szCs w:val="28"/>
          <w:lang w:val="uk-UA"/>
        </w:rPr>
        <w:t xml:space="preserve">;</w:t>
      </w:r>
      <w:r>
        <w:rPr>
          <w:sz w:val="28"/>
        </w:rPr>
      </w:r>
    </w:p>
    <w:p>
      <w:pPr>
        <w:pStyle w:val="922"/>
        <w:ind w:left="360" w:firstLine="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 w:themeColor="text1"/>
          <w:sz w:val="28"/>
          <w:szCs w:val="28"/>
        </w:rPr>
        <w:t xml:space="preserve">за межами с. </w:t>
      </w:r>
      <w:r>
        <w:rPr>
          <w:color w:val="000000" w:themeColor="text1"/>
          <w:sz w:val="28"/>
          <w:szCs w:val="28"/>
        </w:rPr>
        <w:t xml:space="preserve">Блистова:</w:t>
      </w:r>
      <w:r>
        <w:rPr>
          <w:color w:val="000000"/>
          <w:sz w:val="28"/>
          <w:szCs w:val="28"/>
          <w:highlight w:val="none"/>
          <w:lang w:val="uk-UA"/>
        </w:rPr>
      </w:r>
      <w:r>
        <w:rPr>
          <w:sz w:val="28"/>
        </w:rPr>
      </w:r>
    </w:p>
    <w:p>
      <w:pPr>
        <w:pStyle w:val="922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 w:themeColor="text1"/>
          <w:sz w:val="28"/>
          <w:szCs w:val="28"/>
          <w:lang w:val="uk-UA"/>
        </w:rPr>
        <w:t xml:space="preserve">Корень Валентина Федорівна – </w:t>
      </w:r>
      <w:r>
        <w:rPr>
          <w:color w:val="000000"/>
          <w:sz w:val="28"/>
          <w:szCs w:val="28"/>
          <w:lang w:val="uk-UA"/>
        </w:rPr>
        <w:t xml:space="preserve">ЧН №0</w:t>
      </w:r>
      <w:r>
        <w:rPr>
          <w:color w:val="000000"/>
          <w:sz w:val="28"/>
          <w:szCs w:val="28"/>
          <w:lang w:val="uk-UA"/>
        </w:rPr>
        <w:t xml:space="preserve">207144 -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заповітом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13.</w:t>
      </w:r>
      <w:r>
        <w:rPr>
          <w:color w:val="000000" w:themeColor="text1"/>
          <w:sz w:val="28"/>
          <w:lang w:val="uk-UA"/>
        </w:rPr>
        <w:t xml:space="preserve">12</w:t>
      </w:r>
      <w:r>
        <w:rPr>
          <w:color w:val="000000" w:themeColor="text1"/>
          <w:sz w:val="28"/>
        </w:rPr>
        <w:t xml:space="preserve">.202</w:t>
      </w:r>
      <w:r>
        <w:rPr>
          <w:color w:val="000000" w:themeColor="text1"/>
          <w:sz w:val="28"/>
          <w:lang w:val="uk-UA"/>
        </w:rPr>
        <w:t xml:space="preserve">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</w:t>
      </w:r>
      <w:r>
        <w:rPr>
          <w:color w:val="000000" w:themeColor="text1"/>
          <w:sz w:val="28"/>
        </w:rPr>
        <w:t xml:space="preserve">1-2513,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</w:rPr>
        <w:t xml:space="preserve">640/20</w:t>
      </w:r>
      <w:r>
        <w:rPr>
          <w:color w:val="000000"/>
          <w:sz w:val="28"/>
          <w:szCs w:val="28"/>
          <w:lang w:val="uk-UA"/>
        </w:rPr>
        <w:t xml:space="preserve">10.</w:t>
      </w:r>
      <w:r>
        <w:rPr>
          <w:color w:val="000000" w:themeColor="text1"/>
          <w:sz w:val="28"/>
          <w:highlight w:val="none"/>
        </w:rPr>
      </w:r>
      <w:r>
        <w:rPr>
          <w:sz w:val="28"/>
        </w:rPr>
      </w:r>
    </w:p>
    <w:p>
      <w:pPr>
        <w:pStyle w:val="922"/>
        <w:ind w:firstLine="567"/>
        <w:jc w:val="both"/>
        <w:spacing w:after="0" w:afterAutospacing="0" w:before="0" w:beforeAutospacing="0"/>
        <w:tabs>
          <w:tab w:val="left" w:pos="426" w:leader="none"/>
        </w:tabs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  <w:lang w:val="uk-UA"/>
        </w:rPr>
      </w:r>
      <w:r>
        <w:rPr>
          <w:sz w:val="28"/>
          <w:szCs w:val="28"/>
        </w:rPr>
        <w:t xml:space="preserve">2. Грома</w:t>
      </w:r>
      <w:r>
        <w:rPr>
          <w:sz w:val="28"/>
          <w:szCs w:val="28"/>
        </w:rPr>
        <w:t xml:space="preserve">дянам замовити технічну документацію із землеустрою та подати на затвердження в установленому законодавством порядку.</w:t>
      </w:r>
      <w:r>
        <w:rPr>
          <w:sz w:val="28"/>
        </w:rPr>
      </w:r>
    </w:p>
    <w:p>
      <w:pPr>
        <w:pStyle w:val="922"/>
        <w:ind w:firstLine="567"/>
        <w:jc w:val="both"/>
        <w:spacing w:after="0" w:afterAutospacing="0" w:before="0" w:beforeAutospacing="0"/>
        <w:tabs>
          <w:tab w:val="left" w:pos="426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highlight w:val="none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  <w:t xml:space="preserve">Рішення набирає чинності окремо по кожному пункту з дня вручення особисто заявникам витягів з даного рішення окремо по кожному пункту.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r>
      <w:r>
        <w:rPr>
          <w:sz w:val="28"/>
        </w:rPr>
      </w:r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eastAsia="uk-UA"/>
        </w:rPr>
        <w:t xml:space="preserve">4. Контроль за виконанням рішення покласти на першого заступника міського г</w:t>
      </w:r>
      <w:r>
        <w:rPr>
          <w:rFonts w:ascii="Times New Roman" w:hAnsi="Times New Roman"/>
          <w:sz w:val="28"/>
          <w:szCs w:val="28"/>
          <w:lang w:eastAsia="uk-UA"/>
        </w:rPr>
        <w:t xml:space="preserve">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>
        <w:rPr>
          <w:sz w:val="28"/>
        </w:rPr>
      </w:r>
    </w:p>
    <w:p>
      <w:pPr>
        <w:pStyle w:val="9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pStyle w:val="9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sz w:val="28"/>
        </w:rPr>
      </w:r>
    </w:p>
    <w:p>
      <w:pPr>
        <w:pStyle w:val="92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>
        <w:rPr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jc w:val="center"/>
    </w:pPr>
    <w:fldSimple w:instr="PAGE \* MERGEFORMAT">
      <w:r>
        <w:t xml:space="preserve">1</w:t>
      </w:r>
    </w:fldSimple>
    <w:r/>
    <w:r/>
  </w:p>
  <w:p>
    <w:pPr>
      <w:pStyle w:val="7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 w:default="1">
    <w:name w:val="Normal"/>
    <w:qFormat/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paragraph" w:styleId="725" w:customStyle="1">
    <w:name w:val="Heading 1"/>
    <w:link w:val="7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6" w:customStyle="1">
    <w:name w:val="Heading 2"/>
    <w:link w:val="7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7" w:customStyle="1">
    <w:name w:val="Heading 3"/>
    <w:link w:val="7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8" w:customStyle="1">
    <w:name w:val="Heading 4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9" w:customStyle="1">
    <w:name w:val="Heading 5"/>
    <w:link w:val="7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0" w:customStyle="1">
    <w:name w:val="Heading 6"/>
    <w:link w:val="75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1" w:customStyle="1">
    <w:name w:val="Heading 7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2" w:customStyle="1">
    <w:name w:val="Heading 8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3" w:customStyle="1">
    <w:name w:val="Heading 9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 w:customStyle="1">
    <w:name w:val="Heading 1 Char"/>
    <w:basedOn w:val="722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Heading 2 Char"/>
    <w:basedOn w:val="722"/>
    <w:uiPriority w:val="9"/>
    <w:rPr>
      <w:rFonts w:ascii="Arial" w:hAnsi="Arial" w:cs="Arial" w:eastAsia="Arial"/>
      <w:sz w:val="34"/>
    </w:rPr>
  </w:style>
  <w:style w:type="character" w:styleId="736" w:customStyle="1">
    <w:name w:val="Heading 3 Char"/>
    <w:basedOn w:val="722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Heading 4 Char"/>
    <w:basedOn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Heading 5 Char"/>
    <w:basedOn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Heading 6 Char"/>
    <w:basedOn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Heading 7 Char"/>
    <w:basedOn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Heading 8 Char"/>
    <w:basedOn w:val="722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Heading 9 Char"/>
    <w:basedOn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43" w:customStyle="1">
    <w:name w:val="Title Char"/>
    <w:basedOn w:val="722"/>
    <w:uiPriority w:val="10"/>
    <w:rPr>
      <w:sz w:val="48"/>
      <w:szCs w:val="48"/>
    </w:rPr>
  </w:style>
  <w:style w:type="character" w:styleId="744" w:customStyle="1">
    <w:name w:val="Subtitle Char"/>
    <w:basedOn w:val="722"/>
    <w:uiPriority w:val="11"/>
    <w:rPr>
      <w:sz w:val="24"/>
      <w:szCs w:val="24"/>
    </w:rPr>
  </w:style>
  <w:style w:type="character" w:styleId="745" w:customStyle="1">
    <w:name w:val="Quote Char"/>
    <w:uiPriority w:val="29"/>
    <w:rPr>
      <w:i/>
    </w:rPr>
  </w:style>
  <w:style w:type="character" w:styleId="746" w:customStyle="1">
    <w:name w:val="Intense Quote Char"/>
    <w:uiPriority w:val="30"/>
    <w:rPr>
      <w:i/>
    </w:rPr>
  </w:style>
  <w:style w:type="character" w:styleId="747" w:customStyle="1">
    <w:name w:val="Footnote Text Char"/>
    <w:uiPriority w:val="99"/>
    <w:rPr>
      <w:sz w:val="18"/>
    </w:rPr>
  </w:style>
  <w:style w:type="character" w:styleId="748" w:customStyle="1">
    <w:name w:val="Endnote Text Char"/>
    <w:uiPriority w:val="99"/>
    <w:rPr>
      <w:sz w:val="20"/>
    </w:rPr>
  </w:style>
  <w:style w:type="character" w:styleId="749" w:customStyle="1">
    <w:name w:val="Заголовок 1 Знак"/>
    <w:link w:val="725"/>
    <w:uiPriority w:val="9"/>
    <w:rPr>
      <w:rFonts w:ascii="Arial" w:hAnsi="Arial" w:cs="Arial" w:eastAsia="Arial"/>
      <w:sz w:val="40"/>
      <w:szCs w:val="40"/>
    </w:rPr>
  </w:style>
  <w:style w:type="character" w:styleId="750" w:customStyle="1">
    <w:name w:val="Заголовок 2 Знак"/>
    <w:link w:val="726"/>
    <w:uiPriority w:val="9"/>
    <w:rPr>
      <w:rFonts w:ascii="Arial" w:hAnsi="Arial" w:cs="Arial" w:eastAsia="Arial"/>
      <w:sz w:val="34"/>
    </w:rPr>
  </w:style>
  <w:style w:type="character" w:styleId="751" w:customStyle="1">
    <w:name w:val="Заголовок 3 Знак"/>
    <w:link w:val="727"/>
    <w:uiPriority w:val="9"/>
    <w:rPr>
      <w:rFonts w:ascii="Arial" w:hAnsi="Arial" w:cs="Arial" w:eastAsia="Arial"/>
      <w:sz w:val="30"/>
      <w:szCs w:val="30"/>
    </w:rPr>
  </w:style>
  <w:style w:type="character" w:styleId="752" w:customStyle="1">
    <w:name w:val="Заголовок 4 Знак"/>
    <w:link w:val="728"/>
    <w:uiPriority w:val="9"/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Заголовок 5 Знак"/>
    <w:link w:val="729"/>
    <w:uiPriority w:val="9"/>
    <w:rPr>
      <w:rFonts w:ascii="Arial" w:hAnsi="Arial" w:cs="Arial" w:eastAsia="Arial"/>
      <w:b/>
      <w:bCs/>
      <w:sz w:val="24"/>
      <w:szCs w:val="24"/>
    </w:rPr>
  </w:style>
  <w:style w:type="character" w:styleId="754" w:customStyle="1">
    <w:name w:val="Заголовок 6 Знак"/>
    <w:link w:val="730"/>
    <w:uiPriority w:val="9"/>
    <w:rPr>
      <w:rFonts w:ascii="Arial" w:hAnsi="Arial" w:cs="Arial" w:eastAsia="Arial"/>
      <w:b/>
      <w:bCs/>
      <w:sz w:val="22"/>
      <w:szCs w:val="22"/>
    </w:rPr>
  </w:style>
  <w:style w:type="character" w:styleId="755" w:customStyle="1">
    <w:name w:val="Заголовок 7 Знак"/>
    <w:link w:val="7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 w:customStyle="1">
    <w:name w:val="Заголовок 8 Знак"/>
    <w:link w:val="732"/>
    <w:uiPriority w:val="9"/>
    <w:rPr>
      <w:rFonts w:ascii="Arial" w:hAnsi="Arial" w:cs="Arial" w:eastAsia="Arial"/>
      <w:i/>
      <w:iCs/>
      <w:sz w:val="22"/>
      <w:szCs w:val="22"/>
    </w:rPr>
  </w:style>
  <w:style w:type="character" w:styleId="757" w:customStyle="1">
    <w:name w:val="Заголовок 9 Знак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List Paragraph"/>
    <w:qFormat/>
    <w:uiPriority w:val="34"/>
    <w:pPr>
      <w:contextualSpacing w:val="true"/>
      <w:ind w:left="720"/>
    </w:pPr>
  </w:style>
  <w:style w:type="paragraph" w:styleId="759">
    <w:name w:val="No Spacing"/>
    <w:qFormat/>
    <w:uiPriority w:val="1"/>
  </w:style>
  <w:style w:type="paragraph" w:styleId="760">
    <w:name w:val="Title"/>
    <w:link w:val="7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1" w:customStyle="1">
    <w:name w:val="Название Знак"/>
    <w:link w:val="760"/>
    <w:uiPriority w:val="10"/>
    <w:rPr>
      <w:sz w:val="48"/>
      <w:szCs w:val="48"/>
    </w:rPr>
  </w:style>
  <w:style w:type="paragraph" w:styleId="762">
    <w:name w:val="Subtitle"/>
    <w:link w:val="763"/>
    <w:qFormat/>
    <w:uiPriority w:val="11"/>
    <w:rPr>
      <w:sz w:val="24"/>
      <w:szCs w:val="24"/>
    </w:rPr>
    <w:pPr>
      <w:spacing w:after="200" w:before="200"/>
    </w:pPr>
  </w:style>
  <w:style w:type="character" w:styleId="763" w:customStyle="1">
    <w:name w:val="Подзаголовок Знак"/>
    <w:link w:val="762"/>
    <w:uiPriority w:val="11"/>
    <w:rPr>
      <w:sz w:val="24"/>
      <w:szCs w:val="24"/>
    </w:rPr>
  </w:style>
  <w:style w:type="paragraph" w:styleId="764">
    <w:name w:val="Quote"/>
    <w:link w:val="765"/>
    <w:qFormat/>
    <w:uiPriority w:val="29"/>
    <w:rPr>
      <w:i/>
    </w:rPr>
    <w:pPr>
      <w:ind w:left="720" w:right="720"/>
    </w:p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link w:val="7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7" w:customStyle="1">
    <w:name w:val="Выделенная цитата Знак"/>
    <w:link w:val="766"/>
    <w:uiPriority w:val="30"/>
    <w:rPr>
      <w:i/>
    </w:rPr>
  </w:style>
  <w:style w:type="paragraph" w:styleId="768" w:customStyle="1">
    <w:name w:val="Header"/>
    <w:basedOn w:val="721"/>
    <w:link w:val="918"/>
    <w:pPr>
      <w:tabs>
        <w:tab w:val="center" w:pos="4677" w:leader="none"/>
        <w:tab w:val="right" w:pos="9355" w:leader="none"/>
      </w:tabs>
    </w:pPr>
  </w:style>
  <w:style w:type="character" w:styleId="769" w:customStyle="1">
    <w:name w:val="Header Char"/>
    <w:uiPriority w:val="99"/>
  </w:style>
  <w:style w:type="paragraph" w:styleId="770" w:customStyle="1">
    <w:name w:val="Footer"/>
    <w:basedOn w:val="721"/>
    <w:link w:val="919"/>
    <w:pPr>
      <w:tabs>
        <w:tab w:val="center" w:pos="4677" w:leader="none"/>
        <w:tab w:val="right" w:pos="9355" w:leader="none"/>
      </w:tabs>
    </w:pPr>
  </w:style>
  <w:style w:type="character" w:styleId="771" w:customStyle="1">
    <w:name w:val="Footer Char"/>
    <w:uiPriority w:val="99"/>
  </w:style>
  <w:style w:type="paragraph" w:styleId="77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3" w:customStyle="1">
    <w:name w:val="Caption Char"/>
    <w:uiPriority w:val="99"/>
  </w:style>
  <w:style w:type="table" w:styleId="77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0">
    <w:name w:val="Hyperlink"/>
    <w:rPr>
      <w:color w:val="0563C1"/>
      <w:u w:val="single"/>
    </w:rPr>
  </w:style>
  <w:style w:type="paragraph" w:styleId="901">
    <w:name w:val="footnote text"/>
    <w:link w:val="902"/>
    <w:uiPriority w:val="99"/>
    <w:semiHidden/>
    <w:unhideWhenUsed/>
    <w:rPr>
      <w:sz w:val="18"/>
    </w:rPr>
    <w:pPr>
      <w:spacing w:after="40"/>
    </w:pPr>
  </w:style>
  <w:style w:type="character" w:styleId="902" w:customStyle="1">
    <w:name w:val="Текст сноски Знак"/>
    <w:link w:val="901"/>
    <w:uiPriority w:val="99"/>
    <w:rPr>
      <w:sz w:val="18"/>
    </w:rPr>
  </w:style>
  <w:style w:type="character" w:styleId="903">
    <w:name w:val="footnote reference"/>
    <w:uiPriority w:val="99"/>
    <w:unhideWhenUsed/>
    <w:rPr>
      <w:vertAlign w:val="superscript"/>
    </w:rPr>
  </w:style>
  <w:style w:type="paragraph" w:styleId="904">
    <w:name w:val="endnote text"/>
    <w:link w:val="905"/>
    <w:uiPriority w:val="99"/>
    <w:semiHidden/>
    <w:unhideWhenUsed/>
  </w:style>
  <w:style w:type="character" w:styleId="905" w:customStyle="1">
    <w:name w:val="Текст концевой сноски Знак"/>
    <w:link w:val="904"/>
    <w:uiPriority w:val="99"/>
    <w:rPr>
      <w:sz w:val="20"/>
    </w:rPr>
  </w:style>
  <w:style w:type="character" w:styleId="906">
    <w:name w:val="endnote reference"/>
    <w:uiPriority w:val="99"/>
    <w:semiHidden/>
    <w:unhideWhenUsed/>
    <w:rPr>
      <w:vertAlign w:val="superscript"/>
    </w:rPr>
  </w:style>
  <w:style w:type="paragraph" w:styleId="907">
    <w:name w:val="toc 1"/>
    <w:uiPriority w:val="39"/>
    <w:unhideWhenUsed/>
    <w:pPr>
      <w:spacing w:after="57"/>
    </w:pPr>
  </w:style>
  <w:style w:type="paragraph" w:styleId="908">
    <w:name w:val="toc 2"/>
    <w:uiPriority w:val="39"/>
    <w:unhideWhenUsed/>
    <w:pPr>
      <w:ind w:left="283"/>
      <w:spacing w:after="57"/>
    </w:pPr>
  </w:style>
  <w:style w:type="paragraph" w:styleId="909">
    <w:name w:val="toc 3"/>
    <w:uiPriority w:val="39"/>
    <w:unhideWhenUsed/>
    <w:pPr>
      <w:ind w:left="567"/>
      <w:spacing w:after="57"/>
    </w:pPr>
  </w:style>
  <w:style w:type="paragraph" w:styleId="910">
    <w:name w:val="toc 4"/>
    <w:uiPriority w:val="39"/>
    <w:unhideWhenUsed/>
    <w:pPr>
      <w:ind w:left="850"/>
      <w:spacing w:after="57"/>
    </w:pPr>
  </w:style>
  <w:style w:type="paragraph" w:styleId="911">
    <w:name w:val="toc 5"/>
    <w:uiPriority w:val="39"/>
    <w:unhideWhenUsed/>
    <w:pPr>
      <w:ind w:left="1134"/>
      <w:spacing w:after="57"/>
    </w:pPr>
  </w:style>
  <w:style w:type="paragraph" w:styleId="912">
    <w:name w:val="toc 6"/>
    <w:uiPriority w:val="39"/>
    <w:unhideWhenUsed/>
    <w:pPr>
      <w:ind w:left="1417"/>
      <w:spacing w:after="57"/>
    </w:pPr>
  </w:style>
  <w:style w:type="paragraph" w:styleId="913">
    <w:name w:val="toc 7"/>
    <w:uiPriority w:val="39"/>
    <w:unhideWhenUsed/>
    <w:pPr>
      <w:ind w:left="1701"/>
      <w:spacing w:after="57"/>
    </w:pPr>
  </w:style>
  <w:style w:type="paragraph" w:styleId="914">
    <w:name w:val="toc 8"/>
    <w:uiPriority w:val="39"/>
    <w:unhideWhenUsed/>
    <w:pPr>
      <w:ind w:left="1984"/>
      <w:spacing w:after="57"/>
    </w:pPr>
  </w:style>
  <w:style w:type="paragraph" w:styleId="915">
    <w:name w:val="toc 9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uiPriority w:val="99"/>
    <w:unhideWhenUsed/>
  </w:style>
  <w:style w:type="character" w:styleId="918" w:customStyle="1">
    <w:name w:val="Верхний колонтитул Знак"/>
    <w:link w:val="768"/>
    <w:rPr>
      <w:rFonts w:ascii="Calibri" w:hAnsi="Calibri"/>
      <w:sz w:val="22"/>
      <w:szCs w:val="22"/>
      <w:lang w:eastAsia="en-US"/>
    </w:rPr>
  </w:style>
  <w:style w:type="character" w:styleId="919" w:customStyle="1">
    <w:name w:val="Нижний колонтитул Знак"/>
    <w:link w:val="770"/>
    <w:rPr>
      <w:rFonts w:ascii="Calibri" w:hAnsi="Calibri"/>
      <w:sz w:val="22"/>
      <w:szCs w:val="22"/>
      <w:lang w:eastAsia="en-US"/>
    </w:rPr>
  </w:style>
  <w:style w:type="paragraph" w:styleId="920" w:customStyle="1">
    <w:name w:val="Без интервала1"/>
    <w:rPr>
      <w:lang w:val="ru-RU"/>
    </w:rPr>
  </w:style>
  <w:style w:type="paragraph" w:styleId="92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22" w:customStyle="1">
    <w:name w:val="docdata"/>
    <w:basedOn w:val="72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72</cp:revision>
  <dcterms:created xsi:type="dcterms:W3CDTF">2022-09-09T06:05:00Z</dcterms:created>
  <dcterms:modified xsi:type="dcterms:W3CDTF">2023-12-21T19:26:39Z</dcterms:modified>
</cp:coreProperties>
</file>