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3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b/>
          <w:color w:val="000000" w:themeColor="text1"/>
          <w:sz w:val="20"/>
          <w:highlight w:val="none"/>
          <w:lang w:bidi="en-US"/>
        </w:rPr>
      </w:r>
      <w:r>
        <w:rPr>
          <w:rFonts w:ascii="Times New Roman" w:hAnsi="Times New Roman"/>
          <w:b/>
          <w:color w:val="000000" w:themeColor="text1"/>
          <w:sz w:val="20"/>
          <w:highlight w:val="none"/>
          <w:lang w:bidi="en-US"/>
        </w:rPr>
      </w:r>
      <w:r>
        <w:rPr>
          <w:sz w:val="16"/>
        </w:rPr>
      </w:r>
    </w:p>
    <w:p>
      <w:pPr>
        <w:pStyle w:val="843"/>
        <w:jc w:val="center"/>
        <w:rPr>
          <w:rFonts w:ascii="Times New Roman" w:hAnsi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43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</w:r>
      <w:r>
        <w:rPr>
          <w:rFonts w:ascii="Times New Roman" w:hAnsi="Times New Roman"/>
          <w:color w:val="000000"/>
          <w:sz w:val="16"/>
        </w:rPr>
      </w:r>
      <w:r/>
    </w:p>
    <w:p>
      <w:pPr>
        <w:pStyle w:val="843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(сорок третя сесія восьмого скликання) </w:t>
      </w:r>
      <w:bookmarkEnd w:id="0"/>
      <w:r/>
      <w:r/>
    </w:p>
    <w:p>
      <w:pPr>
        <w:jc w:val="center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43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pStyle w:val="845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21 груд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ня 2023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720</w:t>
      </w:r>
      <w:r/>
    </w:p>
    <w:p>
      <w:pPr>
        <w:pStyle w:val="843"/>
        <w:jc w:val="center"/>
        <w:rPr>
          <w:sz w:val="16"/>
        </w:rPr>
      </w:pPr>
      <w:r>
        <w:rPr>
          <w:sz w:val="16"/>
          <w:lang w:val="ru-RU"/>
        </w:rPr>
      </w:r>
      <w:r>
        <w:rPr>
          <w:sz w:val="16"/>
          <w:lang w:val="ru-RU"/>
        </w:rPr>
      </w:r>
      <w:r>
        <w:rPr>
          <w:sz w:val="16"/>
        </w:rPr>
      </w:r>
    </w:p>
    <w:p>
      <w:pPr>
        <w:pStyle w:val="832"/>
        <w:ind w:left="0" w:right="5522" w:firstLine="0"/>
        <w:jc w:val="both"/>
        <w:spacing w:before="0" w:beforeAutospacing="0"/>
      </w:pPr>
      <w:r>
        <w:t xml:space="preserve">Про визначення уразливої зони – </w:t>
      </w:r>
      <w:r>
        <w:t xml:space="preserve">м</w:t>
      </w:r>
      <w:r>
        <w:t xml:space="preserve">асиву</w:t>
      </w:r>
      <w:r>
        <w:t xml:space="preserve"> </w:t>
      </w:r>
      <w:r>
        <w:rPr>
          <w:spacing w:val="-68"/>
        </w:rPr>
        <w:t xml:space="preserve"> </w:t>
      </w:r>
      <w:r>
        <w:t xml:space="preserve">поверхневих вод </w:t>
      </w:r>
      <w:r/>
    </w:p>
    <w:p>
      <w:pPr>
        <w:pStyle w:val="843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837"/>
        <w:ind w:firstLine="567"/>
        <w:jc w:val="both"/>
        <w:suppressLineNumbers w:val="0"/>
      </w:pPr>
      <w:r/>
      <w:bookmarkStart w:id="1" w:name="_Hlk151974747"/>
      <w:r>
        <w:t xml:space="preserve">Розглянувши листа Державного агентства водних ресурсів </w:t>
      </w:r>
      <w:r>
        <w:t xml:space="preserve">України </w:t>
      </w:r>
      <w:r>
        <w:t xml:space="preserve">від 17.11.2023</w:t>
      </w:r>
      <w:r>
        <w:t xml:space="preserve"> </w:t>
      </w:r>
      <w:r>
        <w:t xml:space="preserve">№ 5637/4/2/11-23</w:t>
      </w:r>
      <w:r>
        <w:t xml:space="preserve"> щодо визначення уразливою зоною масиву поверхневих вод</w:t>
      </w:r>
      <w:r>
        <w:t xml:space="preserve"> річки </w:t>
      </w:r>
      <w:r>
        <w:t xml:space="preserve">Мена</w:t>
      </w:r>
      <w:r>
        <w:t xml:space="preserve">, у який здійснює скид стічних вод </w:t>
      </w:r>
      <w:r>
        <w:t xml:space="preserve">Приватне підприємство «Консалтингова фірма «ПРОМЕТЕЙ» філії </w:t>
      </w:r>
      <w:r>
        <w:t xml:space="preserve">«</w:t>
      </w:r>
      <w:r>
        <w:t xml:space="preserve">Менський сир</w:t>
      </w:r>
      <w:r>
        <w:t xml:space="preserve">»</w:t>
      </w:r>
      <w:r>
        <w:t xml:space="preserve">, на вико</w:t>
      </w:r>
      <w:r>
        <w:t xml:space="preserve">нання ст.ст. 2, 4, 12 Закону України «Про водовідведення та очищення стічних вод» від 12.01.2023 № 2887-IX, відповідно до Критеріїв визначення уразливих та менш уразливих зон, затверджених наказом Міністерства екології та природних ресурсів України від</w:t>
      </w:r>
      <w:r>
        <w:t xml:space="preserve"> </w:t>
      </w:r>
      <w:r>
        <w:t xml:space="preserve">14.01.2019 </w:t>
      </w:r>
      <w:r>
        <w:t xml:space="preserve">№</w:t>
      </w:r>
      <w:r>
        <w:t xml:space="preserve"> </w:t>
      </w:r>
      <w:r>
        <w:t xml:space="preserve">6, зареєстрован</w:t>
      </w:r>
      <w:r>
        <w:t xml:space="preserve">ого </w:t>
      </w:r>
      <w:r>
        <w:t xml:space="preserve">Міністерств</w:t>
      </w:r>
      <w:r>
        <w:t xml:space="preserve">ом</w:t>
      </w:r>
      <w:r>
        <w:t xml:space="preserve"> юстиції України 05.02.2019 №</w:t>
      </w:r>
      <w:r>
        <w:t xml:space="preserve"> </w:t>
      </w:r>
      <w:r>
        <w:t xml:space="preserve">126/33097, та керуючись ст.</w:t>
      </w:r>
      <w:r>
        <w:t xml:space="preserve"> </w:t>
      </w:r>
      <w:r>
        <w:t xml:space="preserve">ст. 26, 59, 73 Закону України «Про місцеве самоврядування в Україні», беручи до уваги рекомендації постійної комісії</w:t>
      </w:r>
      <w:r>
        <w:t xml:space="preserve"> </w:t>
      </w:r>
      <w:r>
        <w:t xml:space="preserve">Менської</w:t>
      </w:r>
      <w:r>
        <w:t xml:space="preserve"> міської </w:t>
      </w:r>
      <w:r>
        <w:t xml:space="preserve">ради </w:t>
      </w:r>
      <w:r>
        <w:rPr>
          <w:color w:val="000000" w:themeColor="text1"/>
        </w:rPr>
        <w:t xml:space="preserve">з питань містобудування, будівництва, земельних відносин та охорони природи</w:t>
      </w:r>
      <w:r>
        <w:t xml:space="preserve">,</w:t>
      </w:r>
      <w:r>
        <w:t xml:space="preserve"> </w:t>
      </w:r>
      <w:r>
        <w:t xml:space="preserve">Менська міська рада </w:t>
      </w:r>
      <w:r/>
    </w:p>
    <w:p>
      <w:pPr>
        <w:pStyle w:val="837"/>
        <w:jc w:val="both"/>
      </w:pPr>
      <w:r>
        <w:t xml:space="preserve">ВИРІШИЛА</w:t>
      </w:r>
      <w:r>
        <w:t xml:space="preserve">:</w:t>
      </w:r>
      <w:bookmarkEnd w:id="1"/>
      <w:r/>
      <w:r/>
    </w:p>
    <w:p>
      <w:pPr>
        <w:pStyle w:val="837"/>
        <w:numPr>
          <w:ilvl w:val="0"/>
          <w:numId w:val="2"/>
        </w:numPr>
        <w:ind w:left="0" w:firstLine="567"/>
        <w:jc w:val="both"/>
        <w:tabs>
          <w:tab w:val="left" w:pos="993" w:leader="none"/>
        </w:tabs>
      </w:pPr>
      <w:r/>
      <w:bookmarkStart w:id="2" w:name="_GoBack"/>
      <w:r/>
      <w:bookmarkEnd w:id="2"/>
      <w:r>
        <w:t xml:space="preserve">Визначити</w:t>
      </w:r>
      <w:r>
        <w:rPr>
          <w:spacing w:val="1"/>
        </w:rPr>
        <w:t xml:space="preserve"> </w:t>
      </w:r>
      <w:r>
        <w:t xml:space="preserve">уразливу</w:t>
      </w:r>
      <w:r>
        <w:rPr>
          <w:spacing w:val="1"/>
        </w:rPr>
        <w:t xml:space="preserve"> </w:t>
      </w:r>
      <w:r>
        <w:t xml:space="preserve">зону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масив</w:t>
      </w:r>
      <w:r>
        <w:rPr>
          <w:spacing w:val="1"/>
        </w:rPr>
        <w:t xml:space="preserve"> </w:t>
      </w:r>
      <w:r>
        <w:t xml:space="preserve">поверхневих</w:t>
      </w:r>
      <w:r>
        <w:rPr>
          <w:spacing w:val="1"/>
        </w:rPr>
        <w:t xml:space="preserve"> </w:t>
      </w:r>
      <w:r>
        <w:t xml:space="preserve">вод</w:t>
      </w:r>
      <w:r>
        <w:rPr>
          <w:spacing w:val="1"/>
        </w:rPr>
        <w:t xml:space="preserve"> </w:t>
      </w:r>
      <w:r>
        <w:t xml:space="preserve">UA_M5.1.5_0</w:t>
      </w:r>
      <w:r>
        <w:t xml:space="preserve">167</w:t>
      </w:r>
      <w:r>
        <w:rPr>
          <w:spacing w:val="1"/>
        </w:rPr>
        <w:t xml:space="preserve"> </w:t>
      </w:r>
      <w:r>
        <w:rPr>
          <w:spacing w:val="1"/>
        </w:rPr>
        <w:t xml:space="preserve">річк</w:t>
      </w:r>
      <w:r>
        <w:rPr>
          <w:spacing w:val="1"/>
        </w:rPr>
        <w:t xml:space="preserve">и</w:t>
      </w:r>
      <w:r>
        <w:rPr>
          <w:spacing w:val="1"/>
        </w:rPr>
        <w:t xml:space="preserve"> </w:t>
      </w:r>
      <w:r>
        <w:rPr>
          <w:spacing w:val="1"/>
        </w:rPr>
        <w:t xml:space="preserve">Мен</w:t>
      </w:r>
      <w:r>
        <w:rPr>
          <w:spacing w:val="1"/>
        </w:rPr>
        <w:t xml:space="preserve">а</w:t>
      </w:r>
      <w:r>
        <w:rPr>
          <w:spacing w:val="1"/>
        </w:rPr>
        <w:t xml:space="preserve"> </w:t>
      </w:r>
      <w:r>
        <w:rPr>
          <w:spacing w:val="1"/>
        </w:rPr>
        <w:t xml:space="preserve">суббасейну</w:t>
      </w:r>
      <w:r>
        <w:rPr>
          <w:spacing w:val="1"/>
        </w:rPr>
        <w:t xml:space="preserve"> річки Десна </w:t>
      </w:r>
      <w:r>
        <w:rPr>
          <w:spacing w:val="1"/>
        </w:rPr>
        <w:t xml:space="preserve">річков</w:t>
      </w:r>
      <w:r>
        <w:rPr>
          <w:spacing w:val="1"/>
        </w:rPr>
        <w:t xml:space="preserve">ого</w:t>
      </w:r>
      <w:r>
        <w:rPr>
          <w:spacing w:val="1"/>
        </w:rPr>
        <w:t xml:space="preserve"> басейн</w:t>
      </w:r>
      <w:r>
        <w:rPr>
          <w:spacing w:val="1"/>
        </w:rPr>
        <w:t xml:space="preserve">у</w:t>
      </w:r>
      <w:r>
        <w:rPr>
          <w:spacing w:val="1"/>
        </w:rPr>
        <w:t xml:space="preserve"> Дніпро</w:t>
      </w:r>
      <w:r>
        <w:rPr>
          <w:spacing w:val="1"/>
        </w:rPr>
        <w:t xml:space="preserve">,</w:t>
      </w:r>
      <w:r>
        <w:rPr>
          <w:spacing w:val="1"/>
        </w:rPr>
        <w:t xml:space="preserve"> </w:t>
      </w:r>
      <w:r>
        <w:rPr>
          <w:spacing w:val="1"/>
        </w:rPr>
        <w:t xml:space="preserve">згідно доданих графічних матеріалів до цього рішення</w:t>
      </w:r>
      <w:r>
        <w:t xml:space="preserve">.</w:t>
      </w:r>
      <w:r/>
    </w:p>
    <w:p>
      <w:pPr>
        <w:pStyle w:val="839"/>
        <w:numPr>
          <w:ilvl w:val="0"/>
          <w:numId w:val="2"/>
        </w:numPr>
        <w:ind w:left="0" w:right="-6" w:firstLine="567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Відділу земельних відносин, агропромисловго комплексу та екології Менської міської ради п</w:t>
      </w:r>
      <w:r>
        <w:rPr>
          <w:sz w:val="28"/>
          <w:szCs w:val="28"/>
        </w:rPr>
        <w:t xml:space="preserve">роінформувати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прийняте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Державне агентство водних ресурсів </w:t>
      </w:r>
      <w:r>
        <w:rPr>
          <w:sz w:val="28"/>
        </w:rPr>
        <w:t xml:space="preserve">України</w:t>
      </w:r>
      <w:r>
        <w:t xml:space="preserve"> </w:t>
      </w:r>
      <w:r>
        <w:rPr>
          <w:sz w:val="28"/>
          <w:szCs w:val="28"/>
        </w:rPr>
        <w:t xml:space="preserve"> та Деснянське басейнове управління водних ресурсів.</w:t>
      </w:r>
      <w:r/>
    </w:p>
    <w:p>
      <w:pPr>
        <w:pStyle w:val="839"/>
        <w:numPr>
          <w:ilvl w:val="0"/>
          <w:numId w:val="2"/>
        </w:numPr>
        <w:ind w:left="0" w:firstLine="567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37"/>
      </w:pPr>
      <w:r/>
      <w:r/>
    </w:p>
    <w:p>
      <w:pPr>
        <w:pStyle w:val="832"/>
        <w:ind w:left="101" w:right="0" w:hanging="101"/>
        <w:jc w:val="both"/>
        <w:spacing w:before="225"/>
        <w:tabs>
          <w:tab w:val="left" w:pos="6663" w:leader="none"/>
        </w:tabs>
        <w:rPr>
          <w:b w:val="false"/>
          <w:color w:val="000000"/>
        </w:rPr>
      </w:pPr>
      <w:r>
        <w:rPr>
          <w:b w:val="false"/>
          <w:color w:val="000000" w:themeColor="text1"/>
        </w:rPr>
        <w:t xml:space="preserve">Міський</w:t>
      </w:r>
      <w:r>
        <w:rPr>
          <w:b w:val="false"/>
          <w:color w:val="000000" w:themeColor="text1"/>
        </w:rPr>
        <w:t xml:space="preserve"> г</w:t>
      </w:r>
      <w:r>
        <w:rPr>
          <w:b w:val="false"/>
          <w:color w:val="000000" w:themeColor="text1"/>
        </w:rPr>
        <w:t xml:space="preserve">олова</w:t>
      </w:r>
      <w:r>
        <w:rPr>
          <w:b w:val="false"/>
          <w:color w:val="000000" w:themeColor="text1"/>
        </w:rPr>
        <w:tab/>
      </w:r>
      <w:r>
        <w:rPr>
          <w:b w:val="false"/>
          <w:color w:val="000000" w:themeColor="text1"/>
        </w:rPr>
        <w:t xml:space="preserve">Геннадій ПРИМАКОВ</w:t>
      </w:r>
      <w:r/>
    </w:p>
    <w:sectPr>
      <w:headerReference w:type="default" r:id="rId9"/>
      <w:footnotePr/>
      <w:endnotePr/>
      <w:type w:val="continuous"/>
      <w:pgSz w:w="11900" w:h="16820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rPr>
        <w:sz w:val="2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1941" cy="565784"/>
              <wp:effectExtent l="0" t="0" r="0" b="0"/>
              <wp:docPr id="1" name="image1.png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1941" cy="565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2pt;height:44.5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1" w:hanging="348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84" w:hanging="348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68" w:hanging="348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52" w:hanging="348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36" w:hanging="348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20" w:hanging="348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04" w:hanging="348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88" w:hanging="348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72" w:hanging="348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9">
    <w:name w:val="Heading 1 Char"/>
    <w:basedOn w:val="833"/>
    <w:link w:val="832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basedOn w:val="831"/>
    <w:next w:val="831"/>
    <w:link w:val="6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1">
    <w:name w:val="Heading 2 Char"/>
    <w:basedOn w:val="833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basedOn w:val="831"/>
    <w:next w:val="831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3">
    <w:name w:val="Heading 3 Char"/>
    <w:basedOn w:val="833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basedOn w:val="831"/>
    <w:next w:val="831"/>
    <w:link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5">
    <w:name w:val="Heading 4 Char"/>
    <w:basedOn w:val="833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1"/>
    <w:next w:val="831"/>
    <w:link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7">
    <w:name w:val="Heading 5 Char"/>
    <w:basedOn w:val="833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1"/>
    <w:next w:val="831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9">
    <w:name w:val="Heading 6 Char"/>
    <w:basedOn w:val="833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1"/>
    <w:next w:val="831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1">
    <w:name w:val="Heading 7 Char"/>
    <w:basedOn w:val="833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1"/>
    <w:next w:val="831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3">
    <w:name w:val="Heading 8 Char"/>
    <w:basedOn w:val="833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1"/>
    <w:next w:val="831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>
    <w:name w:val="Heading 9 Char"/>
    <w:basedOn w:val="833"/>
    <w:link w:val="674"/>
    <w:uiPriority w:val="9"/>
    <w:rPr>
      <w:rFonts w:ascii="Arial" w:hAnsi="Arial" w:cs="Arial" w:eastAsia="Arial"/>
      <w:i/>
      <w:iCs/>
      <w:sz w:val="21"/>
      <w:szCs w:val="21"/>
    </w:rPr>
  </w:style>
  <w:style w:type="character" w:styleId="676">
    <w:name w:val="Title Char"/>
    <w:basedOn w:val="833"/>
    <w:link w:val="838"/>
    <w:uiPriority w:val="10"/>
    <w:rPr>
      <w:sz w:val="48"/>
      <w:szCs w:val="48"/>
    </w:rPr>
  </w:style>
  <w:style w:type="paragraph" w:styleId="677">
    <w:name w:val="Subtitle"/>
    <w:basedOn w:val="831"/>
    <w:next w:val="831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>
    <w:name w:val="Subtitle Char"/>
    <w:basedOn w:val="833"/>
    <w:link w:val="677"/>
    <w:uiPriority w:val="11"/>
    <w:rPr>
      <w:sz w:val="24"/>
      <w:szCs w:val="24"/>
    </w:rPr>
  </w:style>
  <w:style w:type="paragraph" w:styleId="679">
    <w:name w:val="Quote"/>
    <w:basedOn w:val="831"/>
    <w:next w:val="831"/>
    <w:link w:val="680"/>
    <w:qFormat/>
    <w:uiPriority w:val="29"/>
    <w:rPr>
      <w:i/>
    </w:rPr>
    <w:pPr>
      <w:ind w:left="720" w:right="720"/>
    </w:p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1"/>
    <w:next w:val="831"/>
    <w:link w:val="68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>
    <w:name w:val="Intense Quote Char"/>
    <w:link w:val="681"/>
    <w:uiPriority w:val="30"/>
    <w:rPr>
      <w:i/>
    </w:rPr>
  </w:style>
  <w:style w:type="character" w:styleId="683">
    <w:name w:val="Header Char"/>
    <w:basedOn w:val="833"/>
    <w:link w:val="846"/>
    <w:uiPriority w:val="99"/>
  </w:style>
  <w:style w:type="character" w:styleId="684">
    <w:name w:val="Footer Char"/>
    <w:basedOn w:val="833"/>
    <w:link w:val="848"/>
    <w:uiPriority w:val="99"/>
  </w:style>
  <w:style w:type="paragraph" w:styleId="685">
    <w:name w:val="Caption"/>
    <w:basedOn w:val="831"/>
    <w:next w:val="8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48"/>
    <w:uiPriority w:val="99"/>
  </w:style>
  <w:style w:type="table" w:styleId="687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7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8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9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0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1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2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9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1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2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3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4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5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6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7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9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0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1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2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3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4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5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3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4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5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6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7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8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9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0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1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2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3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4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5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6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7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8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9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0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1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2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3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3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rPr>
      <w:rFonts w:ascii="Times New Roman" w:hAnsi="Times New Roman" w:cs="Times New Roman" w:eastAsia="Times New Roman"/>
      <w:lang w:val="uk-UA"/>
    </w:rPr>
  </w:style>
  <w:style w:type="paragraph" w:styleId="832">
    <w:name w:val="Heading 1"/>
    <w:basedOn w:val="831"/>
    <w:qFormat/>
    <w:uiPriority w:val="9"/>
    <w:rPr>
      <w:b/>
      <w:bCs/>
      <w:sz w:val="28"/>
      <w:szCs w:val="28"/>
    </w:rPr>
    <w:pPr>
      <w:ind w:left="101"/>
      <w:outlineLvl w:val="0"/>
    </w:p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table" w:styleId="836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37">
    <w:name w:val="Body Text"/>
    <w:basedOn w:val="831"/>
    <w:qFormat/>
    <w:uiPriority w:val="1"/>
    <w:rPr>
      <w:sz w:val="28"/>
      <w:szCs w:val="28"/>
    </w:rPr>
  </w:style>
  <w:style w:type="paragraph" w:styleId="838">
    <w:name w:val="Title"/>
    <w:basedOn w:val="831"/>
    <w:qFormat/>
    <w:uiPriority w:val="10"/>
    <w:rPr>
      <w:b/>
      <w:bCs/>
      <w:sz w:val="32"/>
      <w:szCs w:val="32"/>
    </w:rPr>
    <w:pPr>
      <w:ind w:right="19"/>
      <w:jc w:val="center"/>
      <w:spacing w:before="240"/>
    </w:pPr>
  </w:style>
  <w:style w:type="paragraph" w:styleId="839">
    <w:name w:val="List Paragraph"/>
    <w:basedOn w:val="831"/>
    <w:qFormat/>
    <w:uiPriority w:val="1"/>
    <w:pPr>
      <w:ind w:left="101" w:right="200" w:firstLine="360"/>
      <w:jc w:val="both"/>
    </w:pPr>
  </w:style>
  <w:style w:type="paragraph" w:styleId="840" w:customStyle="1">
    <w:name w:val="Table Paragraph"/>
    <w:basedOn w:val="831"/>
    <w:qFormat/>
    <w:uiPriority w:val="1"/>
  </w:style>
  <w:style w:type="paragraph" w:styleId="841">
    <w:name w:val="Balloon Text"/>
    <w:basedOn w:val="831"/>
    <w:link w:val="842"/>
    <w:uiPriority w:val="99"/>
    <w:semiHidden/>
    <w:unhideWhenUsed/>
    <w:rPr>
      <w:rFonts w:ascii="Tahoma" w:hAnsi="Tahoma" w:cs="Tahoma"/>
      <w:sz w:val="16"/>
      <w:szCs w:val="16"/>
    </w:rPr>
  </w:style>
  <w:style w:type="character" w:styleId="842" w:customStyle="1">
    <w:name w:val="Текст выноски Знак"/>
    <w:basedOn w:val="833"/>
    <w:link w:val="841"/>
    <w:uiPriority w:val="99"/>
    <w:semiHidden/>
    <w:rPr>
      <w:rFonts w:ascii="Tahoma" w:hAnsi="Tahoma" w:cs="Tahoma" w:eastAsia="Times New Roman"/>
      <w:sz w:val="16"/>
      <w:szCs w:val="16"/>
      <w:lang w:val="uk-UA"/>
    </w:rPr>
  </w:style>
  <w:style w:type="paragraph" w:styleId="843">
    <w:name w:val="No Spacing"/>
    <w:link w:val="844"/>
    <w:qFormat/>
    <w:uiPriority w:val="1"/>
    <w:rPr>
      <w:rFonts w:ascii="Calibri" w:hAnsi="Calibri" w:cs="Times New Roman" w:eastAsia="Calibri"/>
      <w:lang w:val="uk-UA"/>
    </w:rPr>
    <w:pPr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44" w:customStyle="1">
    <w:name w:val="Без интервала Знак"/>
    <w:link w:val="843"/>
    <w:uiPriority w:val="1"/>
    <w:rPr>
      <w:rFonts w:ascii="Calibri" w:hAnsi="Calibri" w:cs="Times New Roman" w:eastAsia="Calibri"/>
      <w:color w:val="404040"/>
      <w:sz w:val="20"/>
      <w:szCs w:val="20"/>
      <w:lang w:val="uk-UA" w:eastAsia="uk-UA"/>
    </w:rPr>
    <w:pPr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paragraph" w:styleId="845">
    <w:name w:val="Normal (Web)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after="100" w:afterAutospacing="1" w:before="100" w:beforeAutospacing="1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6">
    <w:name w:val="Header"/>
    <w:basedOn w:val="831"/>
    <w:link w:val="847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847" w:customStyle="1">
    <w:name w:val="Верхний колонтитул Знак"/>
    <w:basedOn w:val="833"/>
    <w:link w:val="846"/>
    <w:uiPriority w:val="99"/>
    <w:rPr>
      <w:rFonts w:ascii="Times New Roman" w:hAnsi="Times New Roman" w:cs="Times New Roman" w:eastAsia="Times New Roman"/>
      <w:lang w:val="uk-UA"/>
    </w:rPr>
  </w:style>
  <w:style w:type="paragraph" w:styleId="848">
    <w:name w:val="Footer"/>
    <w:basedOn w:val="831"/>
    <w:link w:val="849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849" w:customStyle="1">
    <w:name w:val="Нижний колонтитул Знак"/>
    <w:basedOn w:val="833"/>
    <w:link w:val="848"/>
    <w:uiPriority w:val="99"/>
    <w:rPr>
      <w:rFonts w:ascii="Times New Roman" w:hAnsi="Times New Roman" w:cs="Times New Roman" w:eastAsia="Times New Roman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DBUVR</dc:creator>
  <cp:lastModifiedBy>ПРИМАКОВ Геннадій Анатолійович</cp:lastModifiedBy>
  <cp:revision>15</cp:revision>
  <dcterms:created xsi:type="dcterms:W3CDTF">2023-11-27T10:40:00Z</dcterms:created>
  <dcterms:modified xsi:type="dcterms:W3CDTF">2023-12-21T17:44:58Z</dcterms:modified>
</cp:coreProperties>
</file>