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623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</w:t>
      </w:r>
      <w:r>
        <w:rPr>
          <w:rFonts w:ascii="Times New Roman" w:hAnsi="Times New Roman" w:cs="Times New Roman" w:eastAsia="Times New Roman"/>
        </w:rPr>
      </w:r>
    </w:p>
    <w:p>
      <w:pPr>
        <w:ind w:left="623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рішення 42 сесії Менської міської ради 8 скликання</w:t>
      </w:r>
      <w:r>
        <w:rPr>
          <w:rFonts w:ascii="Times New Roman" w:hAnsi="Times New Roman" w:cs="Times New Roman" w:eastAsia="Times New Roman"/>
        </w:rPr>
      </w:r>
    </w:p>
    <w:p>
      <w:pPr>
        <w:ind w:firstLine="6236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22 листопада 2023 року №689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tbl>
      <w:tblPr>
        <w:tblW w:w="9214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3114"/>
        <w:gridCol w:w="2033"/>
        <w:gridCol w:w="2033"/>
        <w:gridCol w:w="2034"/>
      </w:tblGrid>
      <w:tr>
        <w:trPr>
          <w:jc w:val="center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Зміст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61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Орієнтовні обсяги видатків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(усього), </w:t>
            </w:r>
            <w: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  <w:shd w:val="clear" w:fill="FFFFFF" w:color="auto"/>
              </w:rPr>
              <w:t xml:space="preserve">грн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Кількість дітей-сиріт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і дітей, позбавлених батьківського піклування, після досягнення 18-річного віку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shd w:val="clear" w:fill="FFFFFF" w:color="auto"/>
              </w:rPr>
              <w:t xml:space="preserve">Бюджет Менської ТГ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  <w:t xml:space="preserve">14480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shd w:val="clear" w:fill="FFFFFF" w:color="auto"/>
              </w:rPr>
              <w:t xml:space="preserve">18100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  <w:t xml:space="preserve">7240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4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2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6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8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7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1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9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0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1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2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3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4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6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0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3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7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2023-11-10T06:41:00Z</dcterms:created>
  <dcterms:modified xsi:type="dcterms:W3CDTF">2023-11-22T16:22:12Z</dcterms:modified>
</cp:coreProperties>
</file>