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86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b/>
          <w:color w:val="000000"/>
          <w:sz w:val="16"/>
        </w:rPr>
      </w:r>
      <w:r/>
    </w:p>
    <w:p>
      <w:pPr>
        <w:pStyle w:val="88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8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660</w:t>
      </w:r>
      <w:r/>
    </w:p>
    <w:p>
      <w:pPr>
        <w:pStyle w:val="88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з метою передачі в оренду</w:t>
      </w:r>
      <w:r/>
    </w:p>
    <w:p>
      <w:pPr>
        <w:pStyle w:val="88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</w:rPr>
        <w:t xml:space="preserve">ПСП «</w:t>
      </w:r>
      <w:r>
        <w:rPr>
          <w:rFonts w:ascii="Times New Roman" w:hAnsi="Times New Roman"/>
          <w:sz w:val="28"/>
          <w:szCs w:val="28"/>
        </w:rPr>
        <w:t xml:space="preserve">Сновський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Скоробагатька С</w:t>
      </w:r>
      <w:r>
        <w:rPr>
          <w:rFonts w:ascii="Times New Roman" w:hAnsi="Times New Roman"/>
          <w:sz w:val="28"/>
          <w:szCs w:val="28"/>
        </w:rPr>
        <w:t xml:space="preserve">.М.</w:t>
      </w:r>
      <w:r>
        <w:rPr>
          <w:rFonts w:ascii="Times New Roman" w:hAnsi="Times New Roman"/>
          <w:sz w:val="28"/>
          <w:szCs w:val="28"/>
        </w:rPr>
        <w:t xml:space="preserve"> щодо затвердження технічно</w:t>
      </w:r>
      <w:r>
        <w:rPr>
          <w:rFonts w:ascii="Times New Roman" w:hAnsi="Times New Roman"/>
          <w:sz w:val="28"/>
          <w:szCs w:val="28"/>
        </w:rPr>
        <w:t xml:space="preserve">ї документації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в натурі (на місцевості) за рахунок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витребуваних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 часток (паїв)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загальною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38,0309</w:t>
      </w:r>
      <w:r>
        <w:rPr>
          <w:rFonts w:ascii="Times New Roman" w:hAnsi="Times New Roman"/>
          <w:sz w:val="28"/>
          <w:szCs w:val="28"/>
        </w:rPr>
        <w:t xml:space="preserve"> га для ведення товарного сільськогосподарського виробництва </w:t>
      </w:r>
      <w:r>
        <w:rPr>
          <w:rFonts w:ascii="Times New Roman" w:hAnsi="Times New Roman"/>
          <w:color w:val="000000"/>
          <w:sz w:val="28"/>
          <w:szCs w:val="28"/>
        </w:rPr>
        <w:t xml:space="preserve">(код згідно із КВЦПЗ 01.01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що розташовані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межами с. Синявка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ст.13 Закону </w:t>
      </w:r>
      <w:r>
        <w:rPr>
          <w:rFonts w:ascii="Times New Roman" w:hAnsi="Times New Roman"/>
          <w:sz w:val="28"/>
          <w:szCs w:val="28"/>
        </w:rPr>
        <w:t xml:space="preserve">України “Про порядок виділення в натурі (на</w:t>
      </w:r>
      <w:r>
        <w:rPr>
          <w:rFonts w:ascii="Times New Roman" w:hAnsi="Times New Roman"/>
          <w:sz w:val="28"/>
          <w:szCs w:val="28"/>
        </w:rPr>
        <w:t xml:space="preserve"> місцевості) земельних ділянок власникам земельних часток (паїв)”, ст. 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та враховуючи </w:t>
      </w:r>
      <w:r>
        <w:rPr>
          <w:rFonts w:ascii="Times New Roman" w:hAnsi="Times New Roman"/>
          <w:sz w:val="28"/>
          <w:szCs w:val="28"/>
        </w:rPr>
        <w:t xml:space="preserve">рішення 38 сесії Менської міської ради 8 скликання від 25.08.2023 року №512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 надання дозволу на виготовлення технічної документації із землеустрою з метою передачі в оренду земельних ділянок (невитребуваних паїв) ПСП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Сновський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за межами с. Синявка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технічну документацію із з</w:t>
      </w:r>
      <w:r>
        <w:rPr>
          <w:sz w:val="28"/>
          <w:szCs w:val="28"/>
        </w:rPr>
        <w:t xml:space="preserve">емлеустрою щодо встановл</w:t>
      </w:r>
      <w:r>
        <w:rPr>
          <w:sz w:val="28"/>
          <w:szCs w:val="28"/>
        </w:rPr>
        <w:t xml:space="preserve">ення (від</w:t>
      </w:r>
      <w:r>
        <w:rPr>
          <w:sz w:val="28"/>
          <w:szCs w:val="28"/>
        </w:rPr>
        <w:t xml:space="preserve">новлення) меж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натурі (на місцевості) з метою передачі в оренду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38,0309</w:t>
      </w:r>
      <w:r>
        <w:rPr>
          <w:sz w:val="28"/>
          <w:szCs w:val="28"/>
        </w:rPr>
        <w:t xml:space="preserve"> га для ведення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(код КВЦПЗ 01.01</w:t>
      </w:r>
      <w:r>
        <w:rPr>
          <w:color w:val="000000"/>
          <w:sz w:val="28"/>
          <w:szCs w:val="28"/>
        </w:rPr>
        <w:t xml:space="preserve">) з</w:t>
      </w:r>
      <w:r>
        <w:rPr>
          <w:sz w:val="28"/>
          <w:szCs w:val="28"/>
        </w:rPr>
        <w:t xml:space="preserve">а рахунок </w:t>
      </w:r>
      <w:r>
        <w:rPr>
          <w:sz w:val="28"/>
          <w:szCs w:val="28"/>
        </w:rPr>
        <w:t xml:space="preserve">невитребуваних</w:t>
      </w:r>
      <w:r>
        <w:rPr>
          <w:sz w:val="28"/>
          <w:szCs w:val="28"/>
        </w:rPr>
        <w:t xml:space="preserve"> земельних часток (паїв)</w:t>
      </w:r>
      <w:r>
        <w:rPr>
          <w:sz w:val="28"/>
          <w:szCs w:val="28"/>
        </w:rPr>
        <w:t xml:space="preserve">, що розташовані на території Менської міської територіальн</w:t>
      </w:r>
      <w:r>
        <w:rPr>
          <w:sz w:val="28"/>
          <w:szCs w:val="28"/>
        </w:rPr>
        <w:t xml:space="preserve">ої громади за межами с. Синявка згідно додатку, що додається до цього рішення.</w:t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</w:t>
      </w:r>
      <w:r>
        <w:rPr>
          <w:sz w:val="28"/>
          <w:szCs w:val="28"/>
        </w:rPr>
        <w:t xml:space="preserve">троль за виконанням рішення</w:t>
      </w:r>
      <w:r>
        <w:rPr>
          <w:sz w:val="28"/>
          <w:szCs w:val="28"/>
        </w:rPr>
        <w:t xml:space="preserve"> покласти на першого заступника </w:t>
      </w:r>
      <w:r>
        <w:rPr>
          <w:sz w:val="28"/>
          <w:szCs w:val="28"/>
        </w:rPr>
        <w:t xml:space="preserve">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8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6"/>
    <w:uiPriority w:val="10"/>
    <w:rPr>
      <w:sz w:val="48"/>
      <w:szCs w:val="48"/>
    </w:rPr>
  </w:style>
  <w:style w:type="character" w:styleId="701" w:customStyle="1">
    <w:name w:val="Subtitle Char"/>
    <w:basedOn w:val="688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basedOn w:val="687"/>
    <w:link w:val="884"/>
    <w:pPr>
      <w:tabs>
        <w:tab w:val="center" w:pos="4677" w:leader="none"/>
        <w:tab w:val="right" w:pos="9355" w:leader="none"/>
      </w:tabs>
    </w:pPr>
  </w:style>
  <w:style w:type="character" w:styleId="735" w:customStyle="1">
    <w:name w:val="Header Char"/>
    <w:uiPriority w:val="99"/>
  </w:style>
  <w:style w:type="paragraph" w:styleId="736" w:customStyle="1">
    <w:name w:val="Footer"/>
    <w:basedOn w:val="687"/>
    <w:link w:val="885"/>
    <w:pPr>
      <w:tabs>
        <w:tab w:val="center" w:pos="4677" w:leader="none"/>
        <w:tab w:val="right" w:pos="9355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rPr>
      <w:color w:val="0563C1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character" w:styleId="884" w:customStyle="1">
    <w:name w:val="Верхний колонтитул Знак"/>
    <w:link w:val="734"/>
    <w:rPr>
      <w:rFonts w:ascii="Calibri" w:hAnsi="Calibri"/>
      <w:sz w:val="22"/>
      <w:szCs w:val="22"/>
      <w:lang w:eastAsia="en-US"/>
    </w:rPr>
  </w:style>
  <w:style w:type="character" w:styleId="885" w:customStyle="1">
    <w:name w:val="Нижний колонтитул Знак"/>
    <w:link w:val="736"/>
    <w:rPr>
      <w:rFonts w:ascii="Calibri" w:hAnsi="Calibri"/>
      <w:sz w:val="22"/>
      <w:szCs w:val="22"/>
      <w:lang w:eastAsia="en-US"/>
    </w:rPr>
  </w:style>
  <w:style w:type="paragraph" w:styleId="886" w:customStyle="1">
    <w:name w:val="Без интервала1"/>
    <w:rPr>
      <w:lang w:val="ru-RU"/>
    </w:rPr>
  </w:style>
  <w:style w:type="paragraph" w:styleId="88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8" w:customStyle="1">
    <w:name w:val="docdata"/>
    <w:basedOn w:val="68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11</cp:revision>
  <dcterms:created xsi:type="dcterms:W3CDTF">2023-03-15T08:50:00Z</dcterms:created>
  <dcterms:modified xsi:type="dcterms:W3CDTF">2023-11-08T15:34:26Z</dcterms:modified>
</cp:coreProperties>
</file>