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Додаток </w:t>
      </w:r>
      <w:r>
        <w:rPr>
          <w:sz w:val="18"/>
        </w:rPr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до рішення 41 сесії Менської міської ради 8 скликання</w:t>
      </w:r>
      <w:r>
        <w:rPr>
          <w:sz w:val="18"/>
        </w:rPr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07 листо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пада 2023 року №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618</w:t>
      </w:r>
      <w:r>
        <w:rPr>
          <w:rFonts w:ascii="Times New Roman" w:hAnsi="Times New Roman" w:cs="Times New Roman" w:eastAsia="Times New Roman"/>
          <w:color w:val="000000"/>
          <w:sz w:val="22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1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8"/>
        </w:rPr>
        <w:t xml:space="preserve"> </w:t>
      </w:r>
      <w:r>
        <w:rPr>
          <w:sz w:val="1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ПАСПОРТ</w:t>
      </w:r>
      <w:r/>
    </w:p>
    <w:p>
      <w:pPr>
        <w:jc w:val="center"/>
        <w:spacing w:lineRule="auto" w:line="240" w:after="0"/>
        <w:tabs>
          <w:tab w:val="left" w:pos="738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Програми підтримки та розвитку місцевого самоврядування на території Менської міської територіальної громади на 2022-2024 роки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8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18"/>
        </w:rPr>
      </w:r>
      <w:r/>
    </w:p>
    <w:tbl>
      <w:tblPr>
        <w:tblStyle w:val="745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410"/>
        <w:gridCol w:w="5700"/>
      </w:tblGrid>
      <w:tr>
        <w:trPr>
          <w:trHeight w:val="25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8"/>
              </w:rPr>
              <w:t xml:space="preserve">Дата, номер і назва розпорядчого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документа органу виконавчої влади 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про розроблення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Європейська Хартія Місцевого самоврядування, Конституція України, Закони України «Про місцеве самоврядування в Україні», «Про адміністративні послуги», «Про статус депутатів місцевих рад»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Розробник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Співрозробники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Відділ освіти Менської міської ради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Відділ соціального захисту населення, сім’ї, молоді та охорони здоров’я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Фінансове управління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Відділ архітектури та містобудування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Відповідальний виконавець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Відділ освіти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Відділ соціального захисту населення, сім’ї, молоді та охорони здоров’я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Фінансове управління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Відділ архітектури та містобудування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Учасники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рада, її виконавчі органи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Депутати Менської міської ради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8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2022-2024 роки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Етапи виконання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етап: 2022 рік</w:t>
            </w:r>
            <w:r/>
          </w:p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ІІ-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етап: 2023 рік</w:t>
            </w:r>
            <w:r/>
          </w:p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ІІІ-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етап: 2024 рік 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Джерела фінансування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Бюджет Менської міської територіальної громади та інші джерела, не заборонені чинним законодавством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Загальний обсяг фінансових ресурсів, необхідних для реалізації П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рограми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1195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. 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  <w:br w:type="page"/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підтримки та розвитку місцевого самоврядування на території Менської міської територіальної громади на 2022-2024 роки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І. Правова база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Дана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розроблена на основі Європейської Хартії Місцевого самоврядування, Конституції України, законів України «Про місцеве самоврядування в Україні» та «Про статус депутатів місцевих рад».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ІІ. Мета Програми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розвитку місцевого самовряду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вання, налагодження поінформованості як громадян про роботу органів місцевого самоврядування, так і самих органів самоврядування про ситуацію в територіальній громаді, розширення сфер впливу на організаційні процеси в населених пунктах громади, активізацію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діяльності депутатського корпусу і громадськості.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ІІІ. Завдання та фінансування Програми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Розширення місцевої демократії, налагодження постійної тісної співпраці міської ради та її вико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навчого комітету із громадянами, недержавними громадськими організаціям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и, бізнесом і владою, встановлення та підтримка партнерських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зв’язків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 органами місцевого самоврядування громад Україні і за кордоном, фондами, Асоціаціями, проєктами та програмами які реалізовуються на теренах громади, обмін досвідом.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Фінансування Про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грами здійснюється за рахунок коштів бюджету громади.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ІV. Заходи по виконанню Програми</w:t>
      </w:r>
      <w:r/>
    </w:p>
    <w:p>
      <w:pPr>
        <w:numPr>
          <w:ilvl w:val="0"/>
          <w:numId w:val="1"/>
        </w:numPr>
        <w:jc w:val="both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Інформаційна політи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ка</w:t>
      </w:r>
      <w:r/>
    </w:p>
    <w:tbl>
      <w:tblPr>
        <w:tblStyle w:val="745"/>
        <w:tblW w:w="9889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944"/>
        <w:gridCol w:w="724"/>
        <w:gridCol w:w="749"/>
        <w:gridCol w:w="991"/>
        <w:gridCol w:w="900"/>
        <w:gridCol w:w="900"/>
        <w:gridCol w:w="900"/>
        <w:gridCol w:w="2230"/>
      </w:tblGrid>
      <w:tr>
        <w:trPr>
          <w:trHeight w:val="248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№ з/п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Назва заходів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Термін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Виконавці</w:t>
            </w:r>
            <w:r>
              <w:rPr>
                <w:sz w:val="20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9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Фінансува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ння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, тис. 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Очікуваний результат</w:t>
            </w:r>
            <w:r>
              <w:rPr>
                <w:sz w:val="20"/>
              </w:rPr>
            </w:r>
            <w:r/>
          </w:p>
        </w:tc>
      </w:tr>
      <w:tr>
        <w:trPr>
          <w:trHeight w:val="122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2022-2024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67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прес-конференцій для засобів масової інформації.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*Виконавці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Підвищення рівня обізнаності мешканців громади із напрямками діяльності міської ради.</w:t>
            </w:r>
            <w:r/>
          </w:p>
        </w:tc>
      </w:tr>
      <w:tr>
        <w:trPr>
          <w:trHeight w:val="84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прийомів міським головою, заступниками міського голови та іншими посадовими особами мешканців громади.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 (за окремими графіками)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Посадові особи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15,00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Надання консультативної та практичної допомоги мешканцям громади у вирішенні їх проблем.</w:t>
            </w:r>
            <w:r/>
          </w:p>
        </w:tc>
      </w:tr>
      <w:tr>
        <w:trPr>
          <w:trHeight w:val="42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Інформаційне забезпечення діяльності міської ради та її виконавчих орган.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*Виконавці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</w:rPr>
              <w:t xml:space="preserve">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Зворотний зв’язок із жителями громади. Публікації інформаційних матеріалів в друкованих засобах масової інформації.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Відкриття та фінансування місцевого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радіо, оплата інших інформаційних матеріалів.</w:t>
            </w:r>
            <w:r/>
          </w:p>
        </w:tc>
      </w:tr>
      <w:tr>
        <w:trPr>
          <w:trHeight w:val="69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опитувань громадської думки мешканців громади , залучення експертів.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*Виконавці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Вивчення громадської думки щодо важливих питань життя громадян.  </w:t>
            </w:r>
            <w:r/>
          </w:p>
        </w:tc>
      </w:tr>
      <w:tr>
        <w:trPr>
          <w:trHeight w:val="69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Використання системи електронного голосування та інших програмних/апаратних засобів для забезпечення публічності проведення заходів їх обслуговування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упівля ПЗ та інвентарю, програмного забезпечення, апаратних засобів  для забезпечення впровадження системи електронного голосування та забезпечення публічності проведення заходів (сесії, виконкоми, наради, конференції, робочі групи, конкурсні комісії тощо)</w:t>
            </w:r>
            <w:r/>
          </w:p>
        </w:tc>
      </w:tr>
      <w:tr>
        <w:trPr>
          <w:trHeight w:val="69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Оновлення матеріально-технічної бази, яка використовується для організації та проведення засідань робочих груп, постійних комісій, пленарних засідань сесій, засідань виконавчого комітету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200,00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200,00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Покращення інтернет-зв’язку, локальні комп'ютерні мережі, проектори, ноутбуки, планшети, ламінатори, системи аудіо- та відео-зв’язку,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фотоапарати та інша фотоапаратура,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принтери, багатофункціональні пристрої,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термопринтери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інші периферійні пристрої, джерела безперебійного живлення, генератори, інвертори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портативні електричні системи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тощо </w:t>
            </w:r>
            <w:r/>
          </w:p>
        </w:tc>
      </w:tr>
      <w:tr>
        <w:trPr>
          <w:trHeight w:val="262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РАЗОМ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1250,0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350,00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350,00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550,00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2. Участь міської ради в роботі організацій, які сприяють розвиткові місцевого самоврядування в Україні</w:t>
      </w:r>
      <w:r/>
    </w:p>
    <w:tbl>
      <w:tblPr>
        <w:tblStyle w:val="745"/>
        <w:tblW w:w="9889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134"/>
        <w:gridCol w:w="1559"/>
        <w:gridCol w:w="2693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з/п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Назва заходів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Термін виконання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Виконавці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Фінансування всього,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./щороку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Членство в Асоціаціях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Щороку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Сплата членських внесків, участь у заходах, семінарах та навчаннях.</w:t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РАЗОМ за 2022-2024 роки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600,00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3. Навчання, обмін досвідом,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встановлення та підтримка партнерських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зв’язків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, участь у заходах</w:t>
      </w:r>
      <w:r/>
    </w:p>
    <w:tbl>
      <w:tblPr>
        <w:tblStyle w:val="745"/>
        <w:tblW w:w="9746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42"/>
        <w:gridCol w:w="816"/>
        <w:gridCol w:w="117"/>
        <w:gridCol w:w="699"/>
        <w:gridCol w:w="216"/>
        <w:gridCol w:w="600"/>
        <w:gridCol w:w="216"/>
        <w:gridCol w:w="816"/>
        <w:gridCol w:w="816"/>
        <w:gridCol w:w="816"/>
        <w:gridCol w:w="2653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Назва заходів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Термін виконання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Виконавці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Фінансування, 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2022-2024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Прийом делегацій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(в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від міжнародних та українських органів місцевого самоврядування, Асоціацій, Фондів, Програм, які реалізуються в Україні задля покращення та розвитку місцевого самоврядування, інших організацій громадського суспільства, які співпрацюють з міською ра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дою в напрямках реалізації спільних проектів, обміну досвідом), оплата послуг їх проживання та харчування, проведення офіційних прийомів, засідань круглих столів, семінарів, форумів…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Відрядження депутатів, посадових осіб органів місцевого самоврядування, активістів територіал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ьної громади в складі делегації від Менської громади. Залучення експертів, науковців та інших спеціалістів для надання практичної допомоги в діяльності органів місцевого самоврядування громади та виконавчих органів 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підготовки проектів.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Протягом року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*Виконавці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Вивчення та практичне застосування перейнятого досвіду територіальних громад інших муніципалітетів , (в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закордонних), Асоціацій, Фондів, Програм, ОГС, ГО,  в діяльності органів місцевого самоврядування громади, виконавчого комітету та виконавчих органів.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Організація харчування і проживання офіційних делегацій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запрошених гостей та учасників заходів. Оплата послуг залучених фахівців.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3.2.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Транспортне забезпечення делегацій, експертів, науковців, учасників заходів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організатором або співорганізатором яких є органи місцевого самоврядування громади, її виконавчі органи, міська рада.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Протягом року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*Виконавці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200,0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Оплата послуг з транспортного перевезення делегацій, експертів, науковців, учасників заходів та інших запрошених.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3.3.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Транспортне забезпечення доставки різноманітних видів допомоги, яку отримує Менська громада 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Протягом року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*Виконавці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200,0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Оплата послуг з транспортного перевезення допомоги, 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шляхом придбання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ПММ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</w:t>
            </w:r>
            <w:r/>
          </w:p>
        </w:tc>
      </w:tr>
      <w:tr>
        <w:trPr>
          <w:trHeight w:val="184"/>
        </w:trPr>
        <w:tc>
          <w:tcPr>
            <w:gridSpan w:val="11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3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ВСЬОГО,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1200,00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 Підвищення позитивного образу Менської міської територіальної громади, депутатського корпусу міської ради та її органів в Україні та за її межами</w:t>
      </w:r>
      <w:r/>
    </w:p>
    <w:tbl>
      <w:tblPr>
        <w:tblStyle w:val="745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018"/>
        <w:gridCol w:w="709"/>
        <w:gridCol w:w="1033"/>
        <w:gridCol w:w="810"/>
        <w:gridCol w:w="850"/>
        <w:gridCol w:w="1"/>
        <w:gridCol w:w="850"/>
        <w:gridCol w:w="992"/>
        <w:gridCol w:w="1984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0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Фінансування, 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Назва заходів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Термін виконання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Виконавці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2022-2024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друкованої презентаційної та інформаційної продукції (в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законодавчу літературу), відзнак, подяк, грамот, атрибутики громади та Державної символіки, аудіо та відео продукції про громаду, органи місцевого самоврядування, туристичні, економічні можливості краю.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року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*Виконавці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Виготовле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ння та придбання атрибутики громади та Державної символіки, книг, буклетів, відзнак (медалей, дипломів), тканини, рамок, календарів, сувенірів, аудіо та відео продукції і поширення їх серед жителів і гостей нашої громади, депутатів. Друк інформаційних та 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нших матеріалів. Інформування та промоції діяльності міської ради.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ритуальної продукції (вінків, кошиків, квітів, лампадок та інше) для покладання до пам’ятників, пам’ятних знаків, меморіальних до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ш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ок, обелісків, меморіального комплексу, могил визначних людей.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Протягом року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*Виконавці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Вшан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ування пам’яті визначних людей, визначних дат з історії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Менщини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та України.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продукції для привітань посадових осіб місцевого самоврядування, депутатів, членів виконкому та інших мешканців, які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внести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всій вклад в розвиток та зміцнення місцевого самоврядування, а також для привітання нагороджених подяками та грамотами всі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х рівнів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Протягом року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Апарат міської ради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продукції для відзначення, нагородження посадових осіб місцевого самоврядування, депутатів, членів виконкому та інших мешканців, які внесли всій вклад в розвиток та зміцнення місцевого самоврядування, вшанування пам’яті загиблих/померлих жителів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громади, а також для привітання нагороджених подяками та грамотами всіх рівнів (в т.ч. друк або придбання грамот, подяк; придбання рамок, пам’ятних знаків, квітів, подарунків із символікою громади)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а також ламінатор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папір та плівка для ламінування</w:t>
            </w:r>
            <w:r/>
          </w:p>
        </w:tc>
      </w:tr>
      <w:tr>
        <w:trPr>
          <w:trHeight w:val="276"/>
        </w:trPr>
        <w:tc>
          <w:tcPr>
            <w:gridSpan w:val="6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ВСЬОГО,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,00</w:t>
            </w:r>
            <w:r/>
          </w:p>
        </w:tc>
      </w:tr>
    </w:tbl>
    <w:p>
      <w:pPr>
        <w:jc w:val="right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"/>
        </w:rPr>
        <w:t xml:space="preserve"> 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*Виконавці -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Відділ освіти Менської міської ради,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Відділ культури Менської міської ради,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Відділ соціального захисту населення, сім’ї, молоді та охорони здоров’я,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Фінансове управління Менської міської ради,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Відділ архітектури та містобудування Менської міської ради інші виконавчі органи ради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br w:type="page"/>
      </w:r>
      <w:r>
        <w:rPr>
          <w:sz w:val="36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5. Підвищення позитивного образу територіальної громади, депутатського корпусу міської ради та її органів в Україні та за її межами</w:t>
      </w:r>
      <w:r/>
    </w:p>
    <w:tbl>
      <w:tblPr>
        <w:tblStyle w:val="745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50"/>
        <w:gridCol w:w="1417"/>
        <w:gridCol w:w="1134"/>
        <w:gridCol w:w="992"/>
        <w:gridCol w:w="4218"/>
      </w:tblGrid>
      <w:tr>
        <w:trPr>
          <w:trHeight w:val="616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№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Назва заходів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Термін виконання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Виконавці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Фін-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ння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 всього, </w:t>
            </w:r>
            <w:r>
              <w:rPr>
                <w:sz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тис. грн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Примітка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Розширення переліку та покращення якості надання адміністративних послуг та створення Центру “Дія.Бізнес”/ Бізнес.HUB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терміну дії програми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1 000 щороку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18" w:type="dxa"/>
            <w:textDirection w:val="lrTb"/>
            <w:noWrap w:val="false"/>
          </w:tcPr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Підготовка персоналу;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програмного забезпечення;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меблів для облаштування робочих місць ЦНАП та Центру “Дія.Бізнес”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комп’ютерної техніки;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Облаштування території біля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інформаційної компанії;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Встановлення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тач-скринів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самостійного обслуговування;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Автоматизація процесу обробки звернень від громадян, які надходитимуть як через веб-портал так і при безпосередньому відвідуванні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ЦНАПу та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Бізнес.HUB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пристроїв, робочих станцій з комплектом обладнання, встановленим спеціалізован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им програмним забезпеченням та комплексом засобів захисту інформації для видачі паспортів.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5.2.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Якісні адміністративні послуги для сільських жителів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терміну дії програми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1 000 щороку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18" w:type="dxa"/>
            <w:textDirection w:val="lrTb"/>
            <w:noWrap w:val="false"/>
          </w:tcPr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облаштовування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 приміщень для створення віддалених робочих місць (далі ВРМ) спеціалістів та створення філій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в населених пунктах громади (відповідно до рекомендації);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облаштування умов для доступу до послуг ЦНАП маломобільним групам населення;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ня та встановлення обладнання для облаштування електронної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черги, інформаційних кіосків, сейфів, камери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відеонагляду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кондиціонерів, меблів, багатофункціональних пристроїв, обладнання для технічного оснащення робочих місць адміністраторів, створення локаль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ної комп'ютерної мережі, придбання модемів, комутаторів,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роутерів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у приміщення, де створено ВРМ.</w:t>
            </w:r>
            <w:r/>
          </w:p>
        </w:tc>
      </w:tr>
    </w:tbl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Секретар ради</w:t>
      </w:r>
      <w:r>
        <w:rPr>
          <w:rFonts w:ascii="Times New Roman" w:hAnsi="Times New Roman" w:cs="Times New Roman" w:eastAsia="Times New Roman"/>
          <w:sz w:val="28"/>
        </w:rPr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  <w:jc w:val="right"/>
      <w:tabs>
        <w:tab w:val="left" w:pos="2693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  <w:i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</w:rPr>
      <w:t xml:space="preserve">1</w:t>
    </w:r>
    <w:r>
      <w:rPr>
        <w:rFonts w:ascii="Times New Roman" w:hAnsi="Times New Roman" w:cs="Times New Roman" w:eastAsia="Times New Roman"/>
      </w:rPr>
      <w:fldChar w:fldCharType="end"/>
    </w:r>
    <w:r>
      <w:rPr>
        <w:rFonts w:ascii="Times New Roman" w:hAnsi="Times New Roman" w:cs="Times New Roman" w:eastAsia="Times New Roman"/>
      </w:rPr>
      <w:tab/>
    </w:r>
    <w:r>
      <w:rPr>
        <w:rFonts w:ascii="Times New Roman" w:hAnsi="Times New Roman" w:cs="Times New Roman" w:eastAsia="Times New Roman"/>
        <w:i/>
      </w:rPr>
      <w:t xml:space="preserve">продовження 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  <w:jc w:val="right"/>
      <w:tabs>
        <w:tab w:val="left" w:pos="2835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 w:default="1">
    <w:name w:val="Normal"/>
    <w:qFormat/>
  </w:style>
  <w:style w:type="paragraph" w:styleId="691">
    <w:name w:val="Heading 1"/>
    <w:basedOn w:val="690"/>
    <w:next w:val="690"/>
    <w:link w:val="72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92">
    <w:name w:val="Heading 2"/>
    <w:basedOn w:val="690"/>
    <w:next w:val="690"/>
    <w:link w:val="7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3">
    <w:name w:val="Heading 3"/>
    <w:basedOn w:val="690"/>
    <w:next w:val="690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94">
    <w:name w:val="Heading 4"/>
    <w:basedOn w:val="690"/>
    <w:next w:val="690"/>
    <w:link w:val="7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5">
    <w:name w:val="Heading 5"/>
    <w:basedOn w:val="690"/>
    <w:next w:val="690"/>
    <w:link w:val="7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6">
    <w:name w:val="Heading 6"/>
    <w:basedOn w:val="690"/>
    <w:next w:val="690"/>
    <w:link w:val="72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7">
    <w:name w:val="Heading 7"/>
    <w:basedOn w:val="690"/>
    <w:next w:val="690"/>
    <w:link w:val="72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8">
    <w:name w:val="Heading 8"/>
    <w:basedOn w:val="690"/>
    <w:next w:val="690"/>
    <w:link w:val="72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9">
    <w:name w:val="Heading 9"/>
    <w:basedOn w:val="690"/>
    <w:next w:val="690"/>
    <w:link w:val="7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character" w:styleId="703" w:customStyle="1">
    <w:name w:val="Heading 1 Char"/>
    <w:basedOn w:val="700"/>
    <w:uiPriority w:val="9"/>
    <w:rPr>
      <w:rFonts w:ascii="Arial" w:hAnsi="Arial" w:cs="Arial" w:eastAsia="Arial"/>
      <w:sz w:val="40"/>
      <w:szCs w:val="40"/>
    </w:rPr>
  </w:style>
  <w:style w:type="character" w:styleId="704" w:customStyle="1">
    <w:name w:val="Heading 2 Char"/>
    <w:basedOn w:val="700"/>
    <w:uiPriority w:val="9"/>
    <w:rPr>
      <w:rFonts w:ascii="Arial" w:hAnsi="Arial" w:cs="Arial" w:eastAsia="Arial"/>
      <w:sz w:val="34"/>
    </w:rPr>
  </w:style>
  <w:style w:type="character" w:styleId="705" w:customStyle="1">
    <w:name w:val="Heading 3 Char"/>
    <w:basedOn w:val="700"/>
    <w:uiPriority w:val="9"/>
    <w:rPr>
      <w:rFonts w:ascii="Arial" w:hAnsi="Arial" w:cs="Arial" w:eastAsia="Arial"/>
      <w:sz w:val="30"/>
      <w:szCs w:val="30"/>
    </w:rPr>
  </w:style>
  <w:style w:type="character" w:styleId="706" w:customStyle="1">
    <w:name w:val="Heading 4 Char"/>
    <w:basedOn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07" w:customStyle="1">
    <w:name w:val="Heading 5 Char"/>
    <w:basedOn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08" w:customStyle="1">
    <w:name w:val="Heading 6 Char"/>
    <w:basedOn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09" w:customStyle="1">
    <w:name w:val="Heading 7 Char"/>
    <w:basedOn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0" w:customStyle="1">
    <w:name w:val="Heading 8 Char"/>
    <w:basedOn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11" w:customStyle="1">
    <w:name w:val="Heading 9 Char"/>
    <w:basedOn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12" w:customStyle="1">
    <w:name w:val="Title Char"/>
    <w:basedOn w:val="700"/>
    <w:uiPriority w:val="10"/>
    <w:rPr>
      <w:sz w:val="48"/>
      <w:szCs w:val="48"/>
    </w:rPr>
  </w:style>
  <w:style w:type="character" w:styleId="713" w:customStyle="1">
    <w:name w:val="Subtitle Char"/>
    <w:basedOn w:val="700"/>
    <w:uiPriority w:val="11"/>
    <w:rPr>
      <w:sz w:val="24"/>
      <w:szCs w:val="24"/>
    </w:rPr>
  </w:style>
  <w:style w:type="character" w:styleId="714" w:customStyle="1">
    <w:name w:val="Quote Char"/>
    <w:uiPriority w:val="29"/>
    <w:rPr>
      <w:i/>
    </w:rPr>
  </w:style>
  <w:style w:type="character" w:styleId="715" w:customStyle="1">
    <w:name w:val="Intense Quote Char"/>
    <w:uiPriority w:val="30"/>
    <w:rPr>
      <w:i/>
    </w:rPr>
  </w:style>
  <w:style w:type="character" w:styleId="716" w:customStyle="1">
    <w:name w:val="Header Char"/>
    <w:basedOn w:val="700"/>
    <w:uiPriority w:val="99"/>
  </w:style>
  <w:style w:type="character" w:styleId="717" w:customStyle="1">
    <w:name w:val="Caption Char"/>
    <w:uiPriority w:val="99"/>
  </w:style>
  <w:style w:type="character" w:styleId="718" w:customStyle="1">
    <w:name w:val="Footnote Text Char"/>
    <w:uiPriority w:val="99"/>
    <w:rPr>
      <w:sz w:val="18"/>
    </w:rPr>
  </w:style>
  <w:style w:type="character" w:styleId="719" w:customStyle="1">
    <w:name w:val="Endnote Text Char"/>
    <w:uiPriority w:val="99"/>
    <w:rPr>
      <w:sz w:val="20"/>
    </w:rPr>
  </w:style>
  <w:style w:type="character" w:styleId="720" w:customStyle="1">
    <w:name w:val="Заголовок 1 Знак"/>
    <w:basedOn w:val="700"/>
    <w:link w:val="691"/>
    <w:uiPriority w:val="9"/>
    <w:rPr>
      <w:rFonts w:ascii="Arial" w:hAnsi="Arial" w:cs="Arial" w:eastAsia="Arial"/>
      <w:sz w:val="40"/>
      <w:szCs w:val="40"/>
    </w:rPr>
  </w:style>
  <w:style w:type="character" w:styleId="721" w:customStyle="1">
    <w:name w:val="Заголовок 2 Знак"/>
    <w:basedOn w:val="700"/>
    <w:link w:val="692"/>
    <w:uiPriority w:val="9"/>
    <w:rPr>
      <w:rFonts w:ascii="Arial" w:hAnsi="Arial" w:cs="Arial" w:eastAsia="Arial"/>
      <w:sz w:val="34"/>
    </w:rPr>
  </w:style>
  <w:style w:type="character" w:styleId="722" w:customStyle="1">
    <w:name w:val="Заголовок 3 Знак"/>
    <w:basedOn w:val="700"/>
    <w:link w:val="693"/>
    <w:uiPriority w:val="9"/>
    <w:rPr>
      <w:rFonts w:ascii="Arial" w:hAnsi="Arial" w:cs="Arial" w:eastAsia="Arial"/>
      <w:sz w:val="30"/>
      <w:szCs w:val="30"/>
    </w:rPr>
  </w:style>
  <w:style w:type="character" w:styleId="723" w:customStyle="1">
    <w:name w:val="Заголовок 4 Знак"/>
    <w:basedOn w:val="700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724" w:customStyle="1">
    <w:name w:val="Заголовок 5 Знак"/>
    <w:basedOn w:val="700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5" w:customStyle="1">
    <w:name w:val="Заголовок 6 Знак"/>
    <w:basedOn w:val="700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726" w:customStyle="1">
    <w:name w:val="Заголовок 7 Знак"/>
    <w:basedOn w:val="700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7" w:customStyle="1">
    <w:name w:val="Заголовок 8 Знак"/>
    <w:basedOn w:val="700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728" w:customStyle="1">
    <w:name w:val="Заголовок 9 Знак"/>
    <w:basedOn w:val="700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29">
    <w:name w:val="List Paragraph"/>
    <w:basedOn w:val="690"/>
    <w:qFormat/>
    <w:uiPriority w:val="34"/>
    <w:pPr>
      <w:contextualSpacing w:val="true"/>
      <w:ind w:left="720"/>
    </w:pPr>
  </w:style>
  <w:style w:type="paragraph" w:styleId="730">
    <w:name w:val="No Spacing"/>
    <w:qFormat/>
    <w:uiPriority w:val="1"/>
    <w:pPr>
      <w:spacing w:lineRule="auto" w:line="240" w:after="0"/>
    </w:pPr>
  </w:style>
  <w:style w:type="paragraph" w:styleId="731">
    <w:name w:val="Title"/>
    <w:basedOn w:val="690"/>
    <w:next w:val="690"/>
    <w:link w:val="73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2" w:customStyle="1">
    <w:name w:val="Назва Знак"/>
    <w:basedOn w:val="700"/>
    <w:link w:val="731"/>
    <w:uiPriority w:val="10"/>
    <w:rPr>
      <w:sz w:val="48"/>
      <w:szCs w:val="48"/>
    </w:rPr>
  </w:style>
  <w:style w:type="paragraph" w:styleId="733">
    <w:name w:val="Subtitle"/>
    <w:basedOn w:val="690"/>
    <w:next w:val="690"/>
    <w:link w:val="734"/>
    <w:qFormat/>
    <w:uiPriority w:val="11"/>
    <w:rPr>
      <w:sz w:val="24"/>
      <w:szCs w:val="24"/>
    </w:rPr>
    <w:pPr>
      <w:spacing w:before="200"/>
    </w:pPr>
  </w:style>
  <w:style w:type="character" w:styleId="734" w:customStyle="1">
    <w:name w:val="Підзаголовок Знак"/>
    <w:basedOn w:val="700"/>
    <w:link w:val="733"/>
    <w:uiPriority w:val="11"/>
    <w:rPr>
      <w:sz w:val="24"/>
      <w:szCs w:val="24"/>
    </w:rPr>
  </w:style>
  <w:style w:type="paragraph" w:styleId="735">
    <w:name w:val="Quote"/>
    <w:basedOn w:val="690"/>
    <w:next w:val="690"/>
    <w:link w:val="736"/>
    <w:qFormat/>
    <w:uiPriority w:val="29"/>
    <w:rPr>
      <w:i/>
    </w:rPr>
    <w:pPr>
      <w:ind w:left="720" w:right="720"/>
    </w:pPr>
  </w:style>
  <w:style w:type="character" w:styleId="736" w:customStyle="1">
    <w:name w:val="Цитата Знак"/>
    <w:link w:val="735"/>
    <w:uiPriority w:val="29"/>
    <w:rPr>
      <w:i/>
    </w:rPr>
  </w:style>
  <w:style w:type="paragraph" w:styleId="737">
    <w:name w:val="Intense Quote"/>
    <w:basedOn w:val="690"/>
    <w:next w:val="690"/>
    <w:link w:val="73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8" w:customStyle="1">
    <w:name w:val="Насичена цитата Знак"/>
    <w:link w:val="737"/>
    <w:uiPriority w:val="30"/>
    <w:rPr>
      <w:i/>
    </w:rPr>
  </w:style>
  <w:style w:type="paragraph" w:styleId="739">
    <w:name w:val="Header"/>
    <w:basedOn w:val="690"/>
    <w:link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0" w:customStyle="1">
    <w:name w:val="Верхній колонтитул Знак"/>
    <w:basedOn w:val="700"/>
    <w:link w:val="739"/>
    <w:uiPriority w:val="99"/>
  </w:style>
  <w:style w:type="paragraph" w:styleId="741">
    <w:name w:val="Footer"/>
    <w:basedOn w:val="690"/>
    <w:link w:val="7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2" w:customStyle="1">
    <w:name w:val="Footer Char"/>
    <w:basedOn w:val="700"/>
    <w:uiPriority w:val="99"/>
  </w:style>
  <w:style w:type="paragraph" w:styleId="743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44" w:customStyle="1">
    <w:name w:val="Нижній колонтитул Знак"/>
    <w:link w:val="741"/>
    <w:uiPriority w:val="99"/>
  </w:style>
  <w:style w:type="table" w:styleId="745">
    <w:name w:val="Table Grid"/>
    <w:basedOn w:val="70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6" w:customStyle="1">
    <w:name w:val="Table Grid Light"/>
    <w:basedOn w:val="70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7">
    <w:name w:val="Plain Table 1"/>
    <w:basedOn w:val="70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2"/>
    <w:basedOn w:val="70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3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>
    <w:name w:val="Plain Table 4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Plain Table 5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2">
    <w:name w:val="Grid Table 1 Light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4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4" w:customStyle="1">
    <w:name w:val="Grid Table 4 - Accent 1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5" w:customStyle="1">
    <w:name w:val="Grid Table 4 - Accent 2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6" w:customStyle="1">
    <w:name w:val="Grid Table 4 - Accent 3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7" w:customStyle="1">
    <w:name w:val="Grid Table 4 - Accent 4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8" w:customStyle="1">
    <w:name w:val="Grid Table 4 - Accent 5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9" w:customStyle="1">
    <w:name w:val="Grid Table 4 - Accent 6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0">
    <w:name w:val="Grid Table 5 Dark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7">
    <w:name w:val="Grid Table 6 Colorful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6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9" w:customStyle="1">
    <w:name w:val="Grid Table 6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0" w:customStyle="1">
    <w:name w:val="Grid Table 6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1" w:customStyle="1">
    <w:name w:val="Grid Table 6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2" w:customStyle="1">
    <w:name w:val="Grid Table 6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3" w:customStyle="1">
    <w:name w:val="Grid Table 6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4">
    <w:name w:val="Grid Table 7 Colorful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1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2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3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4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5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6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9" w:customStyle="1">
    <w:name w:val="List Table 2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0" w:customStyle="1">
    <w:name w:val="List Table 2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1" w:customStyle="1">
    <w:name w:val="List Table 2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2" w:customStyle="1">
    <w:name w:val="List Table 2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3" w:customStyle="1">
    <w:name w:val="List Table 2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4" w:customStyle="1">
    <w:name w:val="List Table 2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5">
    <w:name w:val="List Table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5 Dark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>
    <w:name w:val="List Table 6 Colorful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7" w:customStyle="1">
    <w:name w:val="List Table 6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8" w:customStyle="1">
    <w:name w:val="List Table 6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9" w:customStyle="1">
    <w:name w:val="List Table 6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0" w:customStyle="1">
    <w:name w:val="List Table 6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1" w:customStyle="1">
    <w:name w:val="List Table 6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2" w:customStyle="1">
    <w:name w:val="List Table 6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3">
    <w:name w:val="List Table 7 Colorful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ned - Accent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1" w:customStyle="1">
    <w:name w:val="Lined - Accent 1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2" w:customStyle="1">
    <w:name w:val="Lined - Accent 2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3" w:customStyle="1">
    <w:name w:val="Lined - Accent 3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4" w:customStyle="1">
    <w:name w:val="Lined - Accent 4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5" w:customStyle="1">
    <w:name w:val="Lined - Accent 5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6" w:customStyle="1">
    <w:name w:val="Lined - Accent 6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7" w:customStyle="1">
    <w:name w:val="Bordered &amp; Lined - Accent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8" w:customStyle="1">
    <w:name w:val="Bordered &amp; Lined - Accent 1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9" w:customStyle="1">
    <w:name w:val="Bordered &amp; Lined - Accent 2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0" w:customStyle="1">
    <w:name w:val="Bordered &amp; Lined - Accent 3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1" w:customStyle="1">
    <w:name w:val="Bordered &amp; Lined - Accent 4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2" w:customStyle="1">
    <w:name w:val="Bordered &amp; Lined - Accent 5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3" w:customStyle="1">
    <w:name w:val="Bordered &amp; Lined - Accent 6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4" w:customStyle="1">
    <w:name w:val="Bordered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5" w:customStyle="1">
    <w:name w:val="Bordered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6" w:customStyle="1">
    <w:name w:val="Bordered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7" w:customStyle="1">
    <w:name w:val="Bordered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8" w:customStyle="1">
    <w:name w:val="Bordered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9" w:customStyle="1">
    <w:name w:val="Bordered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0" w:customStyle="1">
    <w:name w:val="Bordered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1">
    <w:name w:val="Hyperlink"/>
    <w:uiPriority w:val="99"/>
    <w:unhideWhenUsed/>
    <w:rPr>
      <w:color w:val="0000FF" w:themeColor="hyperlink"/>
      <w:u w:val="single"/>
    </w:rPr>
  </w:style>
  <w:style w:type="paragraph" w:styleId="872">
    <w:name w:val="footnote text"/>
    <w:basedOn w:val="690"/>
    <w:link w:val="873"/>
    <w:uiPriority w:val="99"/>
    <w:semiHidden/>
    <w:unhideWhenUsed/>
    <w:rPr>
      <w:sz w:val="18"/>
    </w:rPr>
    <w:pPr>
      <w:spacing w:lineRule="auto" w:line="240" w:after="40"/>
    </w:pPr>
  </w:style>
  <w:style w:type="character" w:styleId="873" w:customStyle="1">
    <w:name w:val="Текст виноски Знак"/>
    <w:link w:val="872"/>
    <w:uiPriority w:val="99"/>
    <w:rPr>
      <w:sz w:val="18"/>
    </w:rPr>
  </w:style>
  <w:style w:type="character" w:styleId="874">
    <w:name w:val="footnote reference"/>
    <w:basedOn w:val="700"/>
    <w:uiPriority w:val="99"/>
    <w:unhideWhenUsed/>
    <w:rPr>
      <w:vertAlign w:val="superscript"/>
    </w:rPr>
  </w:style>
  <w:style w:type="paragraph" w:styleId="875">
    <w:name w:val="endnote text"/>
    <w:basedOn w:val="690"/>
    <w:link w:val="876"/>
    <w:uiPriority w:val="99"/>
    <w:semiHidden/>
    <w:unhideWhenUsed/>
    <w:rPr>
      <w:sz w:val="20"/>
    </w:rPr>
    <w:pPr>
      <w:spacing w:lineRule="auto" w:line="240" w:after="0"/>
    </w:pPr>
  </w:style>
  <w:style w:type="character" w:styleId="876" w:customStyle="1">
    <w:name w:val="Текст кінцевої виноски Знак"/>
    <w:link w:val="875"/>
    <w:uiPriority w:val="99"/>
    <w:rPr>
      <w:sz w:val="20"/>
    </w:rPr>
  </w:style>
  <w:style w:type="character" w:styleId="877">
    <w:name w:val="endnote reference"/>
    <w:basedOn w:val="700"/>
    <w:uiPriority w:val="99"/>
    <w:semiHidden/>
    <w:unhideWhenUsed/>
    <w:rPr>
      <w:vertAlign w:val="superscript"/>
    </w:rPr>
  </w:style>
  <w:style w:type="paragraph" w:styleId="878">
    <w:name w:val="toc 1"/>
    <w:basedOn w:val="690"/>
    <w:next w:val="690"/>
    <w:uiPriority w:val="39"/>
    <w:unhideWhenUsed/>
    <w:pPr>
      <w:spacing w:after="57"/>
    </w:pPr>
  </w:style>
  <w:style w:type="paragraph" w:styleId="879">
    <w:name w:val="toc 2"/>
    <w:basedOn w:val="690"/>
    <w:next w:val="690"/>
    <w:uiPriority w:val="39"/>
    <w:unhideWhenUsed/>
    <w:pPr>
      <w:ind w:left="283"/>
      <w:spacing w:after="57"/>
    </w:pPr>
  </w:style>
  <w:style w:type="paragraph" w:styleId="880">
    <w:name w:val="toc 3"/>
    <w:basedOn w:val="690"/>
    <w:next w:val="690"/>
    <w:uiPriority w:val="39"/>
    <w:unhideWhenUsed/>
    <w:pPr>
      <w:ind w:left="567"/>
      <w:spacing w:after="57"/>
    </w:pPr>
  </w:style>
  <w:style w:type="paragraph" w:styleId="881">
    <w:name w:val="toc 4"/>
    <w:basedOn w:val="690"/>
    <w:next w:val="690"/>
    <w:uiPriority w:val="39"/>
    <w:unhideWhenUsed/>
    <w:pPr>
      <w:ind w:left="850"/>
      <w:spacing w:after="57"/>
    </w:pPr>
  </w:style>
  <w:style w:type="paragraph" w:styleId="882">
    <w:name w:val="toc 5"/>
    <w:basedOn w:val="690"/>
    <w:next w:val="690"/>
    <w:uiPriority w:val="39"/>
    <w:unhideWhenUsed/>
    <w:pPr>
      <w:ind w:left="1134"/>
      <w:spacing w:after="57"/>
    </w:pPr>
  </w:style>
  <w:style w:type="paragraph" w:styleId="883">
    <w:name w:val="toc 6"/>
    <w:basedOn w:val="690"/>
    <w:next w:val="690"/>
    <w:uiPriority w:val="39"/>
    <w:unhideWhenUsed/>
    <w:pPr>
      <w:ind w:left="1417"/>
      <w:spacing w:after="57"/>
    </w:pPr>
  </w:style>
  <w:style w:type="paragraph" w:styleId="884">
    <w:name w:val="toc 7"/>
    <w:basedOn w:val="690"/>
    <w:next w:val="690"/>
    <w:uiPriority w:val="39"/>
    <w:unhideWhenUsed/>
    <w:pPr>
      <w:ind w:left="1701"/>
      <w:spacing w:after="57"/>
    </w:pPr>
  </w:style>
  <w:style w:type="paragraph" w:styleId="885">
    <w:name w:val="toc 8"/>
    <w:basedOn w:val="690"/>
    <w:next w:val="690"/>
    <w:uiPriority w:val="39"/>
    <w:unhideWhenUsed/>
    <w:pPr>
      <w:ind w:left="1984"/>
      <w:spacing w:after="57"/>
    </w:pPr>
  </w:style>
  <w:style w:type="paragraph" w:styleId="886">
    <w:name w:val="toc 9"/>
    <w:basedOn w:val="690"/>
    <w:next w:val="690"/>
    <w:uiPriority w:val="39"/>
    <w:unhideWhenUsed/>
    <w:pPr>
      <w:ind w:left="2268"/>
      <w:spacing w:after="57"/>
    </w:pPr>
  </w:style>
  <w:style w:type="paragraph" w:styleId="887">
    <w:name w:val="TOC Heading"/>
    <w:uiPriority w:val="39"/>
    <w:unhideWhenUsed/>
  </w:style>
  <w:style w:type="paragraph" w:styleId="888">
    <w:name w:val="table of figures"/>
    <w:basedOn w:val="690"/>
    <w:next w:val="690"/>
    <w:uiPriority w:val="99"/>
    <w:unhideWhenUsed/>
    <w:pPr>
      <w:spacing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34</cp:revision>
  <dcterms:created xsi:type="dcterms:W3CDTF">2019-03-29T20:09:00Z</dcterms:created>
  <dcterms:modified xsi:type="dcterms:W3CDTF">2023-11-07T14:38:12Z</dcterms:modified>
</cp:coreProperties>
</file>