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Додаток  </w:t>
      </w:r>
      <w:r/>
    </w:p>
    <w:p>
      <w:pPr>
        <w:ind w:left="566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до рішення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41</w:t>
      </w:r>
      <w:r>
        <w:rPr>
          <w:rFonts w:ascii="Times New Roman" w:hAnsi="Times New Roman"/>
          <w:color w:val="000000" w:themeColor="text1"/>
          <w:sz w:val="28"/>
        </w:rPr>
        <w:t xml:space="preserve">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07 листопада</w:t>
      </w:r>
      <w:r>
        <w:rPr>
          <w:rFonts w:ascii="Times New Roman" w:hAnsi="Times New Roman"/>
          <w:color w:val="000000" w:themeColor="text1"/>
          <w:sz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</w:rPr>
        <w:t xml:space="preserve"> року № 622</w:t>
      </w:r>
      <w:r/>
    </w:p>
    <w:p>
      <w:pPr>
        <w:ind w:left="566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ЗМІСТ</w:t>
      </w:r>
      <w:r/>
    </w:p>
    <w:p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>
        <w:trPr>
          <w:trHeight w:val="68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1. 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Визначення проблеми, на розв’язання якої спрямована Програма …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4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3. Мета Програми………………………………………………………….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4. Обґрунтування шляхів і засобів розв’язання проблеми, обсягів та джерел фінансування, строки виконання Програми……………………….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5. Завдання та результативні показники…………………………………..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6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6. Координація та контроль за виконанням Програми…………………….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1384"/>
        <w:gridCol w:w="83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1. Заходи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                  5-7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Ресурсне забезпечення Програми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иконання заходів з мобілізації, призову на строкову військову службу на території населених пунктів Менської міської  територіальної громади на 2022-2024 роки                                                                                                 8</w:t>
            </w:r>
            <w:r/>
          </w:p>
        </w:tc>
      </w:tr>
    </w:tbl>
    <w:p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 w:type="page"/>
      </w:r>
      <w:r/>
    </w:p>
    <w:p>
      <w:pPr>
        <w:tabs>
          <w:tab w:val="left" w:pos="268" w:leader="none"/>
        </w:tabs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902"/>
        <w:numPr>
          <w:ilvl w:val="0"/>
          <w:numId w:val="9"/>
        </w:numPr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38"/>
        <w:gridCol w:w="5671"/>
      </w:tblGrid>
      <w:tr>
        <w:trPr>
          <w:trHeight w:val="48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tabs>
                <w:tab w:val="left" w:pos="42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/>
            <w:r/>
          </w:p>
        </w:tc>
      </w:tr>
      <w:tr>
        <w:trPr>
          <w:trHeight w:val="3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17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Співрозробники 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66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5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2022- 2024 рік</w:t>
            </w:r>
            <w:r/>
          </w:p>
        </w:tc>
      </w:tr>
      <w:tr>
        <w:trPr>
          <w:trHeight w:val="1010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Менської міської територіальної громади та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Всього за програмою – 2978,0 тис. грн.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2022 р. – 985,0 тис. грн.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2023 р. –  1893,0 тис. грн.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2024 р. – 100,0 тис. грн.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Визначення проблеми, на розв’язання якої спрямована Програма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виконання заходів з мобілізації, призову на військову службу на території населених пунктів громади, що входять до Менської мі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ської ради на 2022 -2024 роки (далі - Програма) розроблена відповідно до Законів України «Про оборону України»,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«Про правовий режим воєнного стану»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«Про мобілізаційну підготовку та мобілізацію»,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військовий обов’язок і військову службу»,«Положення про військово-транспортний обов’язок», затвердженого постановою Кабінету Міністрів України від 28 грудня 2000 року №1921 (в редакції постанови Кабінету Міністрів України від 17 червня 2015 року №405).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Програмою передбачено виконання заходів із мобілізації, призову на військов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службу.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3.Мета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Основною метою Програми є успішне та своєчасне виконання поставлених перед Менською міською територіальною громадою завдань щодо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потреб Збройних Сил України людськими та справними комплектними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транспортними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ресурсами в умовах правового режиму воєнного стану, удосконалення теоретичної і практичної підготовки особового складу оперативного резерву військових частин Збройних Сил України.</w:t>
      </w:r>
      <w:r/>
    </w:p>
    <w:p>
      <w:pPr>
        <w:jc w:val="center"/>
        <w:spacing w:before="1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фінансування, строки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передбачає комплексне розв’язання проблем щодо забезпечення п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отреб Збройних Сил України людськими та справними комплектними транспортними ресурсами в умовах правового режиму воєнного стану, удосконалення теоретичної і практичної підготовки особового складу оперативного резерву військових частин Збройних Сил України.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Менська міська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рада та Перший відділ Корюківського районного територіального центру комплектування та соціальної підтримки. Практична реалізація завдань, визначених Програмою, буде досягатися шляхом фінансування Програми з бюджету Менської міської територіальної громади.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можливостей.</w:t>
      </w:r>
      <w:r/>
    </w:p>
    <w:p>
      <w:pPr>
        <w:jc w:val="center"/>
        <w:spacing w:before="1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5.Завдання та результативні показники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Основним завданням Програми є створенн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 належних умов для успішного та своєчасного виконання заходів мобілізації та призову на військову службу по забезпеченню потреб Збройних сил України у людських ресурсах та справних комплектних транспортних засобах в умовах правового режиму воєнного стану.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Програми дасть змогу забезпечити успішне та своєчасне виконання завдань щодо забезпечення потреб Збройних сил України людськими та справними транспортними ресурсами, поставлених виконавцям заходів мобілізації в громаді.</w:t>
      </w:r>
      <w:r/>
    </w:p>
    <w:p>
      <w:pPr>
        <w:ind w:firstLine="567"/>
        <w:jc w:val="center"/>
        <w:tabs>
          <w:tab w:val="left" w:pos="7367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6.Координація та контроль за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Програми покладається на Менську міську раду та Перший відділ Корюківського районного територіального центру комплектування та соціальної підтримки.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Менська міська рада та Перший відділ Корюківського районного територіального центру комплектування та соціальної підтримки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 виконавчих органів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Сергій ГАЄВОЙ</w:t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Додаток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1</w:t>
      </w:r>
      <w:r/>
    </w:p>
    <w:p>
      <w:pPr>
        <w:ind w:left="10065"/>
        <w:jc w:val="both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color w:val="000000" w:themeColor="text1"/>
          <w:sz w:val="28"/>
        </w:rPr>
        <w:t xml:space="preserve">до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color w:val="000000"/>
          <w:spacing w:val="-1"/>
          <w:sz w:val="10"/>
          <w:szCs w:val="10"/>
        </w:rPr>
        <w:outlineLvl w:val="0"/>
      </w:pPr>
      <w:r>
        <w:rPr>
          <w:rFonts w:ascii="Times New Roman" w:hAnsi="Times New Roman"/>
          <w:b/>
          <w:bCs/>
          <w:color w:val="000000"/>
          <w:spacing w:val="-1"/>
          <w:sz w:val="10"/>
          <w:szCs w:val="10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color w:val="000000"/>
          <w:spacing w:val="-1"/>
          <w:sz w:val="4"/>
          <w:szCs w:val="4"/>
        </w:rPr>
        <w:outlineLvl w:val="0"/>
      </w:pPr>
      <w:r>
        <w:rPr>
          <w:rFonts w:ascii="Times New Roman" w:hAnsi="Times New Roman"/>
          <w:b/>
          <w:bCs/>
          <w:color w:val="000000"/>
          <w:spacing w:val="-1"/>
          <w:sz w:val="4"/>
          <w:szCs w:val="4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color w:val="000000"/>
          <w:sz w:val="28"/>
          <w:szCs w:val="28"/>
        </w:rPr>
        <w:outlineLvl w:val="0"/>
      </w:pPr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</w:t>
      </w:r>
      <w:r/>
    </w:p>
    <w:p>
      <w:pPr>
        <w:ind w:right="338" w:firstLine="360"/>
        <w:jc w:val="center"/>
        <w:rPr>
          <w:rFonts w:ascii="Times New Roman" w:hAnsi="Times New Roman"/>
          <w:b/>
          <w:color w:val="000000"/>
          <w:sz w:val="28"/>
          <w:szCs w:val="28"/>
        </w:rPr>
        <w:outlineLvl w:val="0"/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2022-2024 роки</w:t>
      </w:r>
      <w:r/>
    </w:p>
    <w:tbl>
      <w:tblPr>
        <w:tblW w:w="15768" w:type="dxa"/>
        <w:tblInd w:w="-6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03"/>
        <w:gridCol w:w="1982"/>
        <w:gridCol w:w="1842"/>
        <w:gridCol w:w="2548"/>
        <w:gridCol w:w="856"/>
        <w:gridCol w:w="996"/>
        <w:gridCol w:w="856"/>
        <w:gridCol w:w="2119"/>
      </w:tblGrid>
      <w:tr>
        <w:trPr>
          <w:trHeight w:val="691"/>
        </w:trPr>
        <w:tc>
          <w:tcPr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з/п</w:t>
            </w:r>
            <w:r/>
          </w:p>
        </w:tc>
        <w:tc>
          <w:tcPr>
            <w:tcW w:w="400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1982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tcW w:w="1842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W w:w="254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tcW w:w="2708" w:type="dxa"/>
            <w:vAlign w:val="center"/>
            <w:textDirection w:val="lrTb"/>
            <w:noWrap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W w:w="2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322"/>
        </w:trPr>
        <w:tc>
          <w:tcPr>
            <w:tcW w:w="566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00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2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48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85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2023</w:t>
            </w:r>
            <w:r/>
          </w:p>
        </w:tc>
        <w:tc>
          <w:tcPr>
            <w:tcW w:w="85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2024</w:t>
            </w:r>
            <w:r/>
          </w:p>
        </w:tc>
        <w:tc>
          <w:tcPr>
            <w:tcW w:w="211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1784"/>
        </w:trPr>
        <w:tc>
          <w:tcPr>
            <w:tcW w:w="566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003" w:type="dxa"/>
            <w:vAlign w:val="center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Доставка транспортних засобів у визначені пункти збору для передачі військовим формуванням</w:t>
            </w:r>
            <w:r/>
          </w:p>
        </w:tc>
        <w:tc>
          <w:tcPr>
            <w:tcW w:w="1982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2022 -2024 р.р.</w:t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vAlign w:val="center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  <w:tc>
          <w:tcPr>
            <w:tcW w:w="85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85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2119" w:type="dxa"/>
            <w:vAlign w:val="center"/>
            <w:vMerge w:val="restart"/>
            <w:textDirection w:val="lrTb"/>
            <w:noWrap/>
          </w:tcPr>
          <w:p>
            <w:pPr>
              <w:ind w:left="-37" w:right="-105"/>
              <w:jc w:val="both"/>
              <w:widowControl w:val="o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Успішне та своєчасне виконання заходів мобілізації по забезпеченню потреб Збройних сил України у людських ресурсах та справних комплектних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транспортних засобах в умовах особливого періоду</w:t>
            </w:r>
            <w:r/>
          </w:p>
        </w:tc>
      </w:tr>
      <w:tr>
        <w:trPr>
          <w:cantSplit/>
          <w:trHeight w:val="1015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надання послуг з транспортних перевезень військовозобов’язаних, призваних по мобілізації, призовників, військовослужбовц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ів за контрактом, співробітників правоохоронних органів до пунктів збору, військових частин, для проходження обласної військово-лікарської комісії та у зворотному напрямку, для проведення навчальних зборів, навчань і тренувань з мобілізаційного розгортання</w:t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2022-2024 р.р.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700</w:t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17</w:t>
            </w:r>
            <w:r>
              <w:rPr>
                <w:color w:val="000000" w:themeColor="text1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2119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першого відділу Корюківського районного територіального центру комплектування та соціальної підтримки з оповіщення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та призову на військову службу в т.ч. під час мобілізації, розшуку та збору військовозобов’язаних і призовників на території громади, в т.ч.:</w:t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-придбання пально-мастильних матеріалів;</w:t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придбання запасних частин;</w:t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оплата послуг по ремонту транспортних засобів;</w:t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придбання комп’ютерної техніки та обладнання;</w:t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2022-2024 р.р.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17</w:t>
            </w:r>
            <w:r>
              <w:rPr>
                <w:color w:val="000000" w:themeColor="text1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2119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Надання транспортних послуг для доставки посадових осіб Першого відділу Корюківського районного територі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ального центру комплектування та соціальної підтримки до населених пунктів громади, підприємств, установ і організацій громади для проведення перевірки військового обліку військовозобов’язаних і призовників та мобілізаційної готовності транспортних засобів</w:t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2020-2022 р.р.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2119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медичних оглядів призовників, військовозобов’язаних, що призиваються на навчальні збори до військових частин, військовозобов’язаних в строки, визначені законодавством</w:t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2022-2024 р. р.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30</w:t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45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40</w:t>
            </w:r>
            <w:r/>
          </w:p>
        </w:tc>
        <w:tc>
          <w:tcPr>
            <w:tcW w:w="211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 та навчальні збори</w:t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належної роботи призовного пункту першого відділу Корюківського районного територіального центру комплектування та соціальної підтримки під час мобілізації в період воєнного стану в т.ч.:</w:t>
            </w:r>
            <w:r/>
          </w:p>
          <w:p>
            <w:pPr>
              <w:pStyle w:val="902"/>
              <w:numPr>
                <w:ilvl w:val="0"/>
                <w:numId w:val="10"/>
              </w:num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придбання комп’ютерної техніки та обладнання.</w:t>
            </w:r>
            <w:r/>
          </w:p>
          <w:p>
            <w:pPr>
              <w:pStyle w:val="902"/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2022-2024 р. р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100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r>
            <w:r/>
          </w:p>
        </w:tc>
        <w:tc>
          <w:tcPr>
            <w:tcW w:w="211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</w:t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40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навчання старост старостинських округів громади та відповідальних за військовий облік підприємств, установ та організацій з питань військового обліку та мобілізації, в т.ч.</w:t>
            </w:r>
            <w:r/>
          </w:p>
          <w:p>
            <w:pPr>
              <w:pStyle w:val="902"/>
              <w:numPr>
                <w:ilvl w:val="0"/>
                <w:numId w:val="10"/>
              </w:numPr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придбання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фотографічного обладнання.</w:t>
            </w:r>
            <w:r/>
          </w:p>
          <w:p>
            <w:pPr>
              <w:pStyle w:val="902"/>
              <w:ind w:right="11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82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2022-2024 р. р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W w:w="2548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200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r>
            <w:r/>
          </w:p>
        </w:tc>
        <w:tc>
          <w:tcPr>
            <w:tcW w:w="211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</w:t>
            </w:r>
            <w:r/>
          </w:p>
        </w:tc>
      </w:tr>
      <w:tr>
        <w:trPr>
          <w:trHeight w:val="330"/>
        </w:trPr>
        <w:tc>
          <w:tcPr>
            <w:gridSpan w:val="5"/>
            <w:tcW w:w="10941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Усього: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985</w:t>
            </w:r>
            <w:r/>
          </w:p>
        </w:tc>
        <w:tc>
          <w:tcPr>
            <w:tcW w:w="99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1893</w:t>
            </w:r>
            <w:r/>
          </w:p>
        </w:tc>
        <w:tc>
          <w:tcPr>
            <w:tcW w:w="85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100</w:t>
            </w:r>
            <w:r/>
          </w:p>
        </w:tc>
        <w:tc>
          <w:tcPr>
            <w:tcW w:w="2119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highlight w:val="none"/>
          <w:lang w:val="uk-UA"/>
        </w:rPr>
      </w:r>
      <w:r>
        <w:rPr>
          <w:rFonts w:ascii="Times New Roman" w:hAnsi="Times New Roman"/>
          <w:color w:val="000000" w:themeColor="text1"/>
          <w:sz w:val="28"/>
          <w:highlight w:val="none"/>
          <w:lang w:val="uk-UA"/>
        </w:rPr>
      </w:r>
    </w:p>
    <w:p>
      <w:pPr>
        <w:jc w:val="both"/>
        <w:tabs>
          <w:tab w:val="left" w:pos="7367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міського голови з питань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/>
          <w:color w:val="000000" w:themeColor="text1"/>
          <w:sz w:val="28"/>
          <w:highlight w:val="none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 виконавчих органів ради                                                                   </w:t>
      </w:r>
      <w:r/>
      <w:r>
        <w:rPr>
          <w:rFonts w:ascii="Times New Roman" w:hAnsi="Times New Roman"/>
          <w:color w:val="000000" w:themeColor="text1"/>
          <w:sz w:val="28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Сергій ГАЄВОЙ</w:t>
      </w:r>
      <w:r/>
      <w:r>
        <w:rPr>
          <w:rFonts w:ascii="Times New Roman" w:hAnsi="Times New Roman"/>
          <w:color w:val="000000" w:themeColor="text1"/>
          <w:sz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Додаток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2</w:t>
      </w:r>
      <w:r/>
    </w:p>
    <w:p>
      <w:pPr>
        <w:ind w:left="10065"/>
        <w:jc w:val="both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color w:val="000000" w:themeColor="text1"/>
          <w:sz w:val="28"/>
        </w:rPr>
        <w:t xml:space="preserve">до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  <w:outlineLvl w:val="0"/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Ресурсне забезпечення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2022-2024 роки</w:t>
      </w:r>
      <w:r/>
    </w:p>
    <w:tbl>
      <w:tblPr>
        <w:tblW w:w="0" w:type="auto"/>
        <w:jc w:val="center"/>
        <w:tblInd w:w="-195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Усього витрат на виконання Програми, тис. гривень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Обсяг ресурсів, всього на 2022-2024 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2978,0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Бюджет Менської міської територіальної громади на 2022-2024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2978,0</w:t>
            </w:r>
            <w:r/>
          </w:p>
        </w:tc>
      </w:tr>
    </w:tbl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both"/>
        <w:tabs>
          <w:tab w:val="left" w:pos="73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міського голови з питань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/>
          <w:color w:val="000000"/>
          <w:highlight w:val="none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 виконавчих органів ради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Сергій ГАЄВОЙ</w:t>
      </w:r>
      <w:r/>
      <w:r/>
    </w:p>
    <w:sectPr>
      <w:headerReference w:type="default" r:id="rId12"/>
      <w:headerReference w:type="even" r:id="rId13"/>
      <w:footnotePr/>
      <w:endnotePr/>
      <w:type w:val="nextPage"/>
      <w:pgSz w:w="16838" w:h="11906" w:orient="landscape"/>
      <w:pgMar w:top="709" w:right="709" w:bottom="56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65"/>
      </w:rPr>
      <w:framePr w:w="170" w:wrap="around" w:vAnchor="text" w:hAnchor="margin" w:xAlign="center" w:y="1"/>
    </w:pPr>
    <w:r>
      <w:rPr>
        <w:rStyle w:val="965"/>
      </w:rPr>
      <w:fldChar w:fldCharType="begin"/>
    </w:r>
    <w:r>
      <w:rPr>
        <w:rStyle w:val="965"/>
      </w:rPr>
      <w:instrText xml:space="preserve">PAGE  </w:instrText>
    </w:r>
    <w:r>
      <w:rPr>
        <w:rStyle w:val="965"/>
      </w:rPr>
      <w:fldChar w:fldCharType="separate"/>
    </w:r>
    <w:r>
      <w:rPr>
        <w:rStyle w:val="965"/>
      </w:rPr>
      <w:t xml:space="preserve">4</w:t>
    </w:r>
    <w:r>
      <w:rPr>
        <w:rStyle w:val="965"/>
      </w:rPr>
      <w:fldChar w:fldCharType="end"/>
    </w:r>
    <w:r/>
  </w:p>
  <w:p>
    <w:pPr>
      <w:pStyle w:val="963"/>
      <w:tabs>
        <w:tab w:val="left" w:pos="2544" w:leader="none"/>
        <w:tab w:val="clear" w:pos="4153" w:leader="none"/>
        <w:tab w:val="center" w:pos="4819" w:leader="none"/>
        <w:tab w:val="clear" w:pos="8306" w:leader="none"/>
      </w:tabs>
      <w:rPr>
        <w:i/>
        <w:sz w:val="24"/>
      </w:rPr>
    </w:pPr>
    <w:r>
      <w:tab/>
    </w:r>
    <w:r>
      <w:tab/>
    </w:r>
    <w:r>
      <w:rPr>
        <w:i/>
        <w:sz w:val="24"/>
      </w:rPr>
      <w:t xml:space="preserve">                                  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65"/>
      </w:rPr>
      <w:framePr w:wrap="around" w:vAnchor="text" w:hAnchor="margin" w:xAlign="center" w:y="1"/>
    </w:pPr>
    <w:r>
      <w:rPr>
        <w:rStyle w:val="965"/>
      </w:rPr>
      <w:fldChar w:fldCharType="begin"/>
    </w:r>
    <w:r>
      <w:rPr>
        <w:rStyle w:val="965"/>
      </w:rPr>
      <w:instrText xml:space="preserve">PAGE  </w:instrText>
    </w:r>
    <w:r>
      <w:rPr>
        <w:rStyle w:val="965"/>
      </w:rPr>
      <w:fldChar w:fldCharType="separate"/>
    </w:r>
    <w:r>
      <w:rPr>
        <w:rStyle w:val="965"/>
      </w:rPr>
      <w:t xml:space="preserve">6</w:t>
    </w:r>
    <w:r>
      <w:rPr>
        <w:rStyle w:val="965"/>
      </w:rPr>
      <w:fldChar w:fldCharType="end"/>
    </w:r>
    <w:r/>
  </w:p>
  <w:p>
    <w:pPr>
      <w:pStyle w:val="9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fldSimple w:instr="PAGE \* MERGEFORMAT">
      <w:r>
        <w:t xml:space="preserve">1</w:t>
      </w:r>
    </w:fldSimple>
    <w:r/>
    <w:r/>
  </w:p>
  <w:p>
    <w:pPr>
      <w:pStyle w:val="96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65"/>
      </w:rPr>
      <w:framePr w:wrap="around" w:vAnchor="text" w:hAnchor="margin" w:xAlign="center" w:y="1"/>
    </w:pPr>
    <w:r>
      <w:rPr>
        <w:rStyle w:val="965"/>
      </w:rPr>
      <w:fldChar w:fldCharType="begin"/>
    </w:r>
    <w:r>
      <w:rPr>
        <w:rStyle w:val="965"/>
      </w:rPr>
      <w:instrText xml:space="preserve">PAGE  </w:instrText>
    </w:r>
    <w:r>
      <w:rPr>
        <w:rStyle w:val="965"/>
      </w:rPr>
      <w:fldChar w:fldCharType="separate"/>
    </w:r>
    <w:r>
      <w:rPr>
        <w:rStyle w:val="965"/>
      </w:rPr>
      <w:t xml:space="preserve">6</w:t>
    </w:r>
    <w:r>
      <w:rPr>
        <w:rStyle w:val="965"/>
      </w:rPr>
      <w:fldChar w:fldCharType="end"/>
    </w:r>
    <w:r/>
  </w:p>
  <w:p>
    <w:pPr>
      <w:pStyle w:val="96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65"/>
      </w:rPr>
      <w:framePr w:wrap="around" w:vAnchor="text" w:hAnchor="margin" w:xAlign="center" w:y="1"/>
    </w:pPr>
    <w:r>
      <w:rPr>
        <w:rStyle w:val="965"/>
      </w:rPr>
      <w:fldChar w:fldCharType="begin"/>
    </w:r>
    <w:r>
      <w:rPr>
        <w:rStyle w:val="965"/>
      </w:rPr>
      <w:instrText xml:space="preserve">PAGE  </w:instrText>
    </w:r>
    <w:r>
      <w:rPr>
        <w:rStyle w:val="965"/>
      </w:rPr>
      <w:fldChar w:fldCharType="end"/>
    </w:r>
    <w:r/>
  </w:p>
  <w:p>
    <w:pPr>
      <w:pStyle w:val="9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7"/>
        <w:tabs>
          <w:tab w:val="left" w:pos="1068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7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  <w:rPr>
        <w:rFonts w:cs="Times New Roman"/>
      </w:r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57"/>
        <w:tabs>
          <w:tab w:val="left" w:pos="427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9" w:hanging="357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539" w:hanging="357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6259" w:hanging="177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979" w:hanging="357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7699" w:hanging="357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8419" w:hanging="177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9139" w:hanging="357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9859" w:hanging="357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10579" w:hanging="177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2" w:default="1">
    <w:name w:val="Normal"/>
    <w:qFormat/>
    <w:rPr>
      <w:sz w:val="22"/>
      <w:szCs w:val="22"/>
      <w:lang w:eastAsia="en-US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 w:customStyle="1">
    <w:name w:val="Heading 4"/>
    <w:basedOn w:val="752"/>
    <w:next w:val="752"/>
    <w:link w:val="8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7" w:customStyle="1">
    <w:name w:val="Heading 5"/>
    <w:basedOn w:val="752"/>
    <w:next w:val="752"/>
    <w:link w:val="8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8" w:customStyle="1">
    <w:name w:val="Heading 6"/>
    <w:basedOn w:val="752"/>
    <w:next w:val="752"/>
    <w:link w:val="8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9" w:customStyle="1">
    <w:name w:val="Heading 7"/>
    <w:basedOn w:val="752"/>
    <w:next w:val="752"/>
    <w:link w:val="8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0" w:customStyle="1">
    <w:name w:val="Heading 8"/>
    <w:basedOn w:val="752"/>
    <w:next w:val="752"/>
    <w:link w:val="8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61" w:customStyle="1">
    <w:name w:val="Heading 9"/>
    <w:basedOn w:val="752"/>
    <w:next w:val="752"/>
    <w:link w:val="9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2" w:customStyle="1">
    <w:name w:val="Footer"/>
    <w:basedOn w:val="752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Endnote Text Char"/>
    <w:link w:val="883"/>
    <w:uiPriority w:val="99"/>
    <w:rPr>
      <w:sz w:val="20"/>
    </w:rPr>
  </w:style>
  <w:style w:type="paragraph" w:styleId="764" w:customStyle="1">
    <w:name w:val="Heading 1"/>
    <w:basedOn w:val="752"/>
    <w:next w:val="752"/>
    <w:link w:val="952"/>
    <w:qFormat/>
    <w:uiPriority w:val="99"/>
    <w:rPr>
      <w:rFonts w:ascii="Times New Roman" w:hAnsi="Times New Roman" w:eastAsia="Batang"/>
      <w:b/>
      <w:sz w:val="20"/>
      <w:szCs w:val="20"/>
      <w:lang w:eastAsia="ru-RU"/>
    </w:rPr>
    <w:pPr>
      <w:jc w:val="center"/>
      <w:keepNext/>
      <w:outlineLvl w:val="0"/>
    </w:pPr>
  </w:style>
  <w:style w:type="paragraph" w:styleId="765" w:customStyle="1">
    <w:name w:val="Heading 2"/>
    <w:basedOn w:val="752"/>
    <w:next w:val="752"/>
    <w:link w:val="953"/>
    <w:qFormat/>
    <w:uiPriority w:val="99"/>
    <w:rPr>
      <w:rFonts w:ascii="Arial" w:hAnsi="Arial" w:eastAsia="Batang"/>
      <w:b/>
      <w:i/>
      <w:sz w:val="28"/>
      <w:szCs w:val="20"/>
      <w:lang w:eastAsia="ru-RU"/>
    </w:rPr>
    <w:pPr>
      <w:keepNext/>
      <w:spacing w:after="60" w:before="240"/>
      <w:outlineLvl w:val="1"/>
    </w:pPr>
  </w:style>
  <w:style w:type="paragraph" w:styleId="766" w:customStyle="1">
    <w:name w:val="Heading 3"/>
    <w:basedOn w:val="752"/>
    <w:next w:val="752"/>
    <w:link w:val="962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character" w:styleId="767" w:customStyle="1">
    <w:name w:val="Heading 1 Char"/>
    <w:basedOn w:val="753"/>
    <w:link w:val="887"/>
    <w:uiPriority w:val="99"/>
    <w:rPr>
      <w:rFonts w:ascii="Arial" w:hAnsi="Arial"/>
      <w:sz w:val="40"/>
      <w:szCs w:val="40"/>
      <w:lang w:val="ru-RU" w:bidi="ar-SA" w:eastAsia="ru-RU"/>
    </w:rPr>
  </w:style>
  <w:style w:type="character" w:styleId="768" w:customStyle="1">
    <w:name w:val="Heading 2 Char"/>
    <w:basedOn w:val="753"/>
    <w:link w:val="888"/>
    <w:uiPriority w:val="99"/>
    <w:rPr>
      <w:rFonts w:ascii="Arial" w:hAnsi="Arial"/>
      <w:sz w:val="34"/>
      <w:szCs w:val="22"/>
      <w:lang w:val="ru-RU" w:bidi="ar-SA" w:eastAsia="ru-RU"/>
    </w:rPr>
  </w:style>
  <w:style w:type="character" w:styleId="769" w:customStyle="1">
    <w:name w:val="Heading 3 Char"/>
    <w:basedOn w:val="753"/>
    <w:link w:val="889"/>
    <w:uiPriority w:val="99"/>
    <w:rPr>
      <w:rFonts w:ascii="Arial" w:hAnsi="Arial"/>
      <w:sz w:val="30"/>
      <w:szCs w:val="30"/>
      <w:lang w:val="ru-RU" w:bidi="ar-SA" w:eastAsia="ru-RU"/>
    </w:rPr>
  </w:style>
  <w:style w:type="character" w:styleId="770" w:customStyle="1">
    <w:name w:val="Title Char"/>
    <w:basedOn w:val="753"/>
    <w:link w:val="904"/>
    <w:uiPriority w:val="99"/>
    <w:rPr>
      <w:rFonts w:cs="Times New Roman"/>
      <w:sz w:val="48"/>
      <w:szCs w:val="48"/>
    </w:rPr>
  </w:style>
  <w:style w:type="character" w:styleId="771" w:customStyle="1">
    <w:name w:val="Subtitle Char"/>
    <w:basedOn w:val="753"/>
    <w:link w:val="906"/>
    <w:uiPriority w:val="99"/>
    <w:rPr>
      <w:rFonts w:cs="Times New Roman"/>
      <w:sz w:val="24"/>
      <w:szCs w:val="24"/>
    </w:rPr>
  </w:style>
  <w:style w:type="character" w:styleId="772" w:customStyle="1">
    <w:name w:val="Quote Char"/>
    <w:uiPriority w:val="99"/>
    <w:rPr>
      <w:i/>
    </w:rPr>
  </w:style>
  <w:style w:type="character" w:styleId="773" w:customStyle="1">
    <w:name w:val="Intense Quote Char"/>
    <w:uiPriority w:val="99"/>
    <w:rPr>
      <w:i/>
    </w:rPr>
  </w:style>
  <w:style w:type="paragraph" w:styleId="774" w:customStyle="1">
    <w:name w:val="Caption"/>
    <w:basedOn w:val="752"/>
    <w:next w:val="75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5" w:customStyle="1">
    <w:name w:val="Caption Char"/>
    <w:link w:val="762"/>
    <w:uiPriority w:val="99"/>
  </w:style>
  <w:style w:type="table" w:styleId="776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 w:customStyle="1">
    <w:name w:val="Footnote Text Char"/>
    <w:uiPriority w:val="99"/>
    <w:rPr>
      <w:sz w:val="18"/>
    </w:rPr>
  </w:style>
  <w:style w:type="paragraph" w:styleId="883">
    <w:name w:val="endnote text"/>
    <w:basedOn w:val="752"/>
    <w:link w:val="884"/>
    <w:uiPriority w:val="99"/>
    <w:semiHidden/>
    <w:rPr>
      <w:sz w:val="20"/>
      <w:szCs w:val="20"/>
      <w:lang w:eastAsia="ru-RU"/>
    </w:rPr>
  </w:style>
  <w:style w:type="character" w:styleId="884" w:customStyle="1">
    <w:name w:val="Текст концевой сноски Знак"/>
    <w:basedOn w:val="753"/>
    <w:link w:val="883"/>
    <w:uiPriority w:val="99"/>
    <w:rPr>
      <w:rFonts w:cs="Times New Roman"/>
      <w:sz w:val="20"/>
    </w:rPr>
  </w:style>
  <w:style w:type="character" w:styleId="885">
    <w:name w:val="endnote reference"/>
    <w:basedOn w:val="753"/>
    <w:uiPriority w:val="99"/>
    <w:semiHidden/>
    <w:rPr>
      <w:rFonts w:cs="Times New Roman"/>
      <w:vertAlign w:val="superscript"/>
    </w:rPr>
  </w:style>
  <w:style w:type="paragraph" w:styleId="886">
    <w:name w:val="table of figures"/>
    <w:basedOn w:val="752"/>
    <w:next w:val="752"/>
    <w:uiPriority w:val="99"/>
  </w:style>
  <w:style w:type="paragraph" w:styleId="887" w:customStyle="1">
    <w:name w:val="Heading 11"/>
    <w:link w:val="767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88" w:customStyle="1">
    <w:name w:val="Heading 21"/>
    <w:link w:val="768"/>
    <w:uiPriority w:val="99"/>
    <w:rPr>
      <w:rFonts w:ascii="Arial" w:hAnsi="Arial"/>
      <w:sz w:val="34"/>
      <w:szCs w:val="22"/>
    </w:rPr>
    <w:pPr>
      <w:keepLines/>
      <w:keepNext/>
      <w:spacing w:after="200" w:before="360"/>
      <w:outlineLvl w:val="1"/>
    </w:pPr>
  </w:style>
  <w:style w:type="paragraph" w:styleId="889" w:customStyle="1">
    <w:name w:val="Heading 31"/>
    <w:link w:val="769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90" w:customStyle="1">
    <w:name w:val="Heading 41"/>
    <w:link w:val="891"/>
    <w:uiPriority w:val="99"/>
    <w:rPr>
      <w:rFonts w:ascii="Arial" w:hAnsi="Arial"/>
      <w:b/>
      <w:sz w:val="22"/>
      <w:szCs w:val="22"/>
    </w:rPr>
    <w:pPr>
      <w:keepLines/>
      <w:keepNext/>
      <w:spacing w:after="200" w:before="320"/>
      <w:outlineLvl w:val="3"/>
    </w:pPr>
  </w:style>
  <w:style w:type="character" w:styleId="891" w:customStyle="1">
    <w:name w:val="Heading 4 Char"/>
    <w:link w:val="890"/>
    <w:uiPriority w:val="99"/>
    <w:rPr>
      <w:rFonts w:ascii="Arial" w:hAnsi="Arial"/>
      <w:b/>
      <w:sz w:val="22"/>
      <w:szCs w:val="22"/>
      <w:lang w:bidi="ar-SA"/>
    </w:rPr>
  </w:style>
  <w:style w:type="paragraph" w:styleId="892" w:customStyle="1">
    <w:name w:val="Heading 51"/>
    <w:link w:val="893"/>
    <w:uiPriority w:val="99"/>
    <w:rPr>
      <w:rFonts w:ascii="Arial" w:hAnsi="Arial"/>
      <w:b/>
      <w:sz w:val="22"/>
      <w:szCs w:val="22"/>
    </w:rPr>
    <w:pPr>
      <w:keepLines/>
      <w:keepNext/>
      <w:spacing w:after="200" w:before="320"/>
      <w:outlineLvl w:val="4"/>
    </w:pPr>
  </w:style>
  <w:style w:type="character" w:styleId="893" w:customStyle="1">
    <w:name w:val="Heading 5 Char"/>
    <w:link w:val="892"/>
    <w:uiPriority w:val="99"/>
    <w:rPr>
      <w:rFonts w:ascii="Arial" w:hAnsi="Arial"/>
      <w:b/>
      <w:sz w:val="22"/>
      <w:szCs w:val="22"/>
      <w:lang w:bidi="ar-SA"/>
    </w:rPr>
  </w:style>
  <w:style w:type="paragraph" w:styleId="894" w:customStyle="1">
    <w:name w:val="Heading 61"/>
    <w:link w:val="895"/>
    <w:uiPriority w:val="99"/>
    <w:rPr>
      <w:rFonts w:ascii="Arial" w:hAnsi="Arial"/>
      <w:b/>
      <w:sz w:val="22"/>
      <w:szCs w:val="22"/>
    </w:rPr>
    <w:pPr>
      <w:keepLines/>
      <w:keepNext/>
      <w:spacing w:after="200" w:before="320"/>
      <w:outlineLvl w:val="5"/>
    </w:pPr>
  </w:style>
  <w:style w:type="character" w:styleId="895" w:customStyle="1">
    <w:name w:val="Heading 6 Char"/>
    <w:link w:val="894"/>
    <w:uiPriority w:val="99"/>
    <w:rPr>
      <w:rFonts w:ascii="Arial" w:hAnsi="Arial"/>
      <w:b/>
      <w:sz w:val="22"/>
      <w:szCs w:val="22"/>
      <w:lang w:bidi="ar-SA"/>
    </w:rPr>
  </w:style>
  <w:style w:type="paragraph" w:styleId="896" w:customStyle="1">
    <w:name w:val="Heading 71"/>
    <w:link w:val="897"/>
    <w:uiPriority w:val="99"/>
    <w:rPr>
      <w:rFonts w:ascii="Arial" w:hAnsi="Arial"/>
      <w:b/>
      <w:i/>
      <w:sz w:val="22"/>
      <w:szCs w:val="22"/>
    </w:rPr>
    <w:pPr>
      <w:keepLines/>
      <w:keepNext/>
      <w:spacing w:after="200" w:before="320"/>
      <w:outlineLvl w:val="6"/>
    </w:pPr>
  </w:style>
  <w:style w:type="character" w:styleId="897" w:customStyle="1">
    <w:name w:val="Heading 7 Char"/>
    <w:link w:val="896"/>
    <w:uiPriority w:val="99"/>
    <w:rPr>
      <w:rFonts w:ascii="Arial" w:hAnsi="Arial"/>
      <w:b/>
      <w:i/>
      <w:sz w:val="22"/>
      <w:szCs w:val="22"/>
      <w:lang w:bidi="ar-SA"/>
    </w:rPr>
  </w:style>
  <w:style w:type="paragraph" w:styleId="898" w:customStyle="1">
    <w:name w:val="Heading 81"/>
    <w:link w:val="899"/>
    <w:uiPriority w:val="99"/>
    <w:rPr>
      <w:rFonts w:ascii="Arial" w:hAnsi="Arial"/>
      <w:i/>
      <w:sz w:val="22"/>
      <w:szCs w:val="22"/>
    </w:rPr>
    <w:pPr>
      <w:keepLines/>
      <w:keepNext/>
      <w:spacing w:after="200" w:before="320"/>
      <w:outlineLvl w:val="7"/>
    </w:pPr>
  </w:style>
  <w:style w:type="character" w:styleId="899" w:customStyle="1">
    <w:name w:val="Heading 8 Char"/>
    <w:link w:val="898"/>
    <w:uiPriority w:val="99"/>
    <w:rPr>
      <w:rFonts w:ascii="Arial" w:hAnsi="Arial"/>
      <w:i/>
      <w:sz w:val="22"/>
      <w:szCs w:val="22"/>
      <w:lang w:bidi="ar-SA"/>
    </w:rPr>
  </w:style>
  <w:style w:type="paragraph" w:styleId="900" w:customStyle="1">
    <w:name w:val="Heading 91"/>
    <w:link w:val="901"/>
    <w:uiPriority w:val="99"/>
    <w:rPr>
      <w:rFonts w:ascii="Arial" w:hAnsi="Arial"/>
      <w:i/>
      <w:sz w:val="22"/>
      <w:szCs w:val="22"/>
    </w:rPr>
    <w:pPr>
      <w:keepLines/>
      <w:keepNext/>
      <w:spacing w:after="200" w:before="320"/>
      <w:outlineLvl w:val="8"/>
    </w:pPr>
  </w:style>
  <w:style w:type="character" w:styleId="901" w:customStyle="1">
    <w:name w:val="Heading 9 Char"/>
    <w:link w:val="900"/>
    <w:uiPriority w:val="99"/>
    <w:rPr>
      <w:rFonts w:ascii="Arial" w:hAnsi="Arial"/>
      <w:i/>
      <w:sz w:val="22"/>
      <w:szCs w:val="22"/>
      <w:lang w:bidi="ar-SA"/>
    </w:rPr>
  </w:style>
  <w:style w:type="paragraph" w:styleId="902">
    <w:name w:val="List Paragraph"/>
    <w:basedOn w:val="752"/>
    <w:qFormat/>
    <w:uiPriority w:val="99"/>
    <w:pPr>
      <w:contextualSpacing w:val="true"/>
      <w:ind w:left="720"/>
    </w:pPr>
  </w:style>
  <w:style w:type="paragraph" w:styleId="903">
    <w:name w:val="No Spacing"/>
    <w:qFormat/>
    <w:uiPriority w:val="99"/>
    <w:rPr>
      <w:sz w:val="22"/>
      <w:szCs w:val="22"/>
      <w:lang w:eastAsia="en-US"/>
    </w:rPr>
  </w:style>
  <w:style w:type="paragraph" w:styleId="904">
    <w:name w:val="Title"/>
    <w:basedOn w:val="752"/>
    <w:link w:val="90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905" w:customStyle="1">
    <w:name w:val="Название Знак"/>
    <w:basedOn w:val="753"/>
    <w:link w:val="904"/>
    <w:uiPriority w:val="99"/>
    <w:rPr>
      <w:rFonts w:cs="Times New Roman"/>
      <w:sz w:val="48"/>
    </w:rPr>
  </w:style>
  <w:style w:type="paragraph" w:styleId="906">
    <w:name w:val="Subtitle"/>
    <w:basedOn w:val="752"/>
    <w:link w:val="907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907" w:customStyle="1">
    <w:name w:val="Подзаголовок Знак"/>
    <w:basedOn w:val="753"/>
    <w:link w:val="906"/>
    <w:uiPriority w:val="99"/>
    <w:rPr>
      <w:rFonts w:cs="Times New Roman"/>
      <w:sz w:val="24"/>
    </w:rPr>
  </w:style>
  <w:style w:type="paragraph" w:styleId="908">
    <w:name w:val="Quote"/>
    <w:basedOn w:val="752"/>
    <w:link w:val="909"/>
    <w:qFormat/>
    <w:uiPriority w:val="99"/>
    <w:rPr>
      <w:i/>
      <w:sz w:val="20"/>
      <w:szCs w:val="20"/>
      <w:lang w:eastAsia="ru-RU"/>
    </w:rPr>
    <w:pPr>
      <w:ind w:left="720" w:right="720"/>
    </w:pPr>
  </w:style>
  <w:style w:type="character" w:styleId="909" w:customStyle="1">
    <w:name w:val="Цитата 2 Знак"/>
    <w:basedOn w:val="753"/>
    <w:link w:val="908"/>
    <w:uiPriority w:val="99"/>
    <w:rPr>
      <w:rFonts w:cs="Times New Roman"/>
      <w:i/>
      <w:sz w:val="22"/>
      <w:lang w:val="ru-RU" w:eastAsia="en-US"/>
    </w:rPr>
  </w:style>
  <w:style w:type="paragraph" w:styleId="910">
    <w:name w:val="Intense Quote"/>
    <w:basedOn w:val="752"/>
    <w:link w:val="911"/>
    <w:qFormat/>
    <w:uiPriority w:val="99"/>
    <w:rPr>
      <w:i/>
      <w:sz w:val="20"/>
      <w:szCs w:val="20"/>
      <w:lang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1" w:customStyle="1">
    <w:name w:val="Выделенная цитата Знак"/>
    <w:basedOn w:val="753"/>
    <w:link w:val="910"/>
    <w:uiPriority w:val="99"/>
    <w:rPr>
      <w:rFonts w:cs="Times New Roman"/>
      <w:i/>
      <w:sz w:val="22"/>
      <w:shd w:val="clear" w:color="F2F2F2" w:fill="F2F2F2"/>
      <w:lang w:val="ru-RU" w:eastAsia="en-US"/>
    </w:rPr>
  </w:style>
  <w:style w:type="paragraph" w:styleId="912" w:customStyle="1">
    <w:name w:val="Header1"/>
    <w:link w:val="913"/>
    <w:uiPriority w:val="99"/>
    <w:rPr>
      <w:sz w:val="22"/>
      <w:szCs w:val="22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3" w:customStyle="1">
    <w:name w:val="Header Char"/>
    <w:link w:val="912"/>
    <w:uiPriority w:val="99"/>
    <w:rPr>
      <w:sz w:val="22"/>
      <w:szCs w:val="22"/>
      <w:lang w:val="ru-RU" w:bidi="ar-SA" w:eastAsia="en-US"/>
    </w:rPr>
  </w:style>
  <w:style w:type="paragraph" w:styleId="914" w:customStyle="1">
    <w:name w:val="Footer1"/>
    <w:link w:val="915"/>
    <w:uiPriority w:val="99"/>
    <w:rPr>
      <w:sz w:val="22"/>
      <w:szCs w:val="22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5" w:customStyle="1">
    <w:name w:val="Footer Char"/>
    <w:link w:val="914"/>
    <w:uiPriority w:val="99"/>
    <w:rPr>
      <w:sz w:val="22"/>
      <w:szCs w:val="22"/>
      <w:lang w:val="ru-RU" w:bidi="ar-SA" w:eastAsia="en-US"/>
    </w:rPr>
  </w:style>
  <w:style w:type="table" w:styleId="916">
    <w:name w:val="Table Grid"/>
    <w:basedOn w:val="754"/>
    <w:uiPriority w:val="99"/>
    <w:rPr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ned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- Accent 1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- Accent 2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- Accent 3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Bordered - Accent 4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9" w:customStyle="1">
    <w:name w:val="Bordered - Accent 5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0" w:customStyle="1">
    <w:name w:val="Bordered - Accent 6"/>
    <w:uiPriority w:val="9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1" w:customStyle="1">
    <w:name w:val="Bordered &amp; Lined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38">
    <w:name w:val="Hyperlink"/>
    <w:basedOn w:val="753"/>
    <w:uiPriority w:val="99"/>
    <w:rPr>
      <w:rFonts w:cs="Times New Roman"/>
      <w:color w:val="0000FF"/>
      <w:u w:val="single"/>
    </w:rPr>
  </w:style>
  <w:style w:type="paragraph" w:styleId="939">
    <w:name w:val="footnote text"/>
    <w:basedOn w:val="752"/>
    <w:link w:val="940"/>
    <w:uiPriority w:val="99"/>
    <w:semiHidden/>
    <w:rPr>
      <w:sz w:val="18"/>
      <w:szCs w:val="20"/>
      <w:lang w:eastAsia="ru-RU"/>
    </w:rPr>
    <w:pPr>
      <w:spacing w:after="40"/>
    </w:pPr>
  </w:style>
  <w:style w:type="character" w:styleId="940" w:customStyle="1">
    <w:name w:val="Текст сноски Знак"/>
    <w:basedOn w:val="753"/>
    <w:link w:val="939"/>
    <w:uiPriority w:val="99"/>
    <w:semiHidden/>
    <w:rPr>
      <w:rFonts w:cs="Times New Roman"/>
      <w:sz w:val="22"/>
    </w:rPr>
  </w:style>
  <w:style w:type="character" w:styleId="941">
    <w:name w:val="footnote reference"/>
    <w:basedOn w:val="753"/>
    <w:uiPriority w:val="99"/>
    <w:rPr>
      <w:rFonts w:cs="Times New Roman"/>
      <w:vertAlign w:val="superscript"/>
    </w:rPr>
  </w:style>
  <w:style w:type="paragraph" w:styleId="942">
    <w:name w:val="toc 1"/>
    <w:basedOn w:val="752"/>
    <w:uiPriority w:val="99"/>
    <w:pPr>
      <w:spacing w:after="57"/>
    </w:pPr>
  </w:style>
  <w:style w:type="paragraph" w:styleId="943">
    <w:name w:val="toc 2"/>
    <w:basedOn w:val="752"/>
    <w:uiPriority w:val="99"/>
    <w:pPr>
      <w:ind w:left="283"/>
      <w:spacing w:after="57"/>
    </w:pPr>
  </w:style>
  <w:style w:type="paragraph" w:styleId="944">
    <w:name w:val="toc 3"/>
    <w:basedOn w:val="752"/>
    <w:uiPriority w:val="99"/>
    <w:pPr>
      <w:ind w:left="567"/>
      <w:spacing w:after="57"/>
    </w:pPr>
  </w:style>
  <w:style w:type="paragraph" w:styleId="945">
    <w:name w:val="toc 4"/>
    <w:basedOn w:val="752"/>
    <w:uiPriority w:val="99"/>
    <w:pPr>
      <w:ind w:left="850"/>
      <w:spacing w:after="57"/>
    </w:pPr>
  </w:style>
  <w:style w:type="paragraph" w:styleId="946">
    <w:name w:val="toc 5"/>
    <w:basedOn w:val="752"/>
    <w:uiPriority w:val="99"/>
    <w:pPr>
      <w:ind w:left="1134"/>
      <w:spacing w:after="57"/>
    </w:pPr>
  </w:style>
  <w:style w:type="paragraph" w:styleId="947">
    <w:name w:val="toc 6"/>
    <w:basedOn w:val="752"/>
    <w:uiPriority w:val="99"/>
    <w:pPr>
      <w:ind w:left="1417"/>
      <w:spacing w:after="57"/>
    </w:pPr>
  </w:style>
  <w:style w:type="paragraph" w:styleId="948">
    <w:name w:val="toc 7"/>
    <w:basedOn w:val="752"/>
    <w:uiPriority w:val="99"/>
    <w:pPr>
      <w:ind w:left="1701"/>
      <w:spacing w:after="57"/>
    </w:pPr>
  </w:style>
  <w:style w:type="paragraph" w:styleId="949">
    <w:name w:val="toc 8"/>
    <w:basedOn w:val="752"/>
    <w:uiPriority w:val="99"/>
    <w:pPr>
      <w:ind w:left="1984"/>
      <w:spacing w:after="57"/>
    </w:pPr>
  </w:style>
  <w:style w:type="paragraph" w:styleId="950">
    <w:name w:val="toc 9"/>
    <w:basedOn w:val="752"/>
    <w:uiPriority w:val="99"/>
    <w:pPr>
      <w:ind w:left="2268"/>
      <w:spacing w:after="57"/>
    </w:pPr>
  </w:style>
  <w:style w:type="paragraph" w:styleId="951">
    <w:name w:val="TOC Heading"/>
    <w:basedOn w:val="764"/>
    <w:qFormat/>
    <w:uiPriority w:val="99"/>
    <w:rPr>
      <w:rFonts w:ascii="Calibri" w:hAnsi="Calibri" w:eastAsia="Times New Roman"/>
      <w:b w:val="false"/>
      <w:sz w:val="22"/>
      <w:szCs w:val="22"/>
      <w:lang w:eastAsia="en-US"/>
    </w:rPr>
    <w:pPr>
      <w:jc w:val="left"/>
      <w:keepNext w:val="false"/>
      <w:outlineLvl w:val="9"/>
    </w:pPr>
  </w:style>
  <w:style w:type="character" w:styleId="952" w:customStyle="1">
    <w:name w:val="Заголовок 1 Знак"/>
    <w:link w:val="764"/>
    <w:uiPriority w:val="99"/>
    <w:rPr>
      <w:rFonts w:ascii="Times New Roman" w:hAnsi="Times New Roman" w:eastAsia="Batang"/>
      <w:b/>
      <w:sz w:val="20"/>
      <w:lang w:eastAsia="ru-RU"/>
    </w:rPr>
  </w:style>
  <w:style w:type="character" w:styleId="953" w:customStyle="1">
    <w:name w:val="Заголовок 2 Знак"/>
    <w:link w:val="765"/>
    <w:uiPriority w:val="99"/>
    <w:rPr>
      <w:rFonts w:ascii="Arial" w:hAnsi="Arial" w:eastAsia="Batang"/>
      <w:b/>
      <w:i/>
      <w:sz w:val="28"/>
      <w:lang w:eastAsia="ru-RU"/>
    </w:rPr>
  </w:style>
  <w:style w:type="paragraph" w:styleId="954">
    <w:name w:val="Body Text"/>
    <w:basedOn w:val="752"/>
    <w:link w:val="955"/>
    <w:uiPriority w:val="99"/>
    <w:rPr>
      <w:rFonts w:ascii="Times New Roman" w:hAnsi="Times New Roman" w:eastAsia="Batang"/>
      <w:b/>
      <w:sz w:val="28"/>
      <w:szCs w:val="20"/>
      <w:lang w:eastAsia="ru-RU"/>
    </w:rPr>
    <w:pPr>
      <w:jc w:val="both"/>
    </w:pPr>
  </w:style>
  <w:style w:type="character" w:styleId="955" w:customStyle="1">
    <w:name w:val="Основной текст Знак"/>
    <w:basedOn w:val="753"/>
    <w:link w:val="954"/>
    <w:uiPriority w:val="99"/>
    <w:rPr>
      <w:rFonts w:ascii="Times New Roman" w:hAnsi="Times New Roman" w:cs="Times New Roman" w:eastAsia="Batang"/>
      <w:b/>
      <w:sz w:val="20"/>
      <w:lang w:eastAsia="ru-RU"/>
    </w:rPr>
  </w:style>
  <w:style w:type="paragraph" w:styleId="956">
    <w:name w:val="Balloon Text"/>
    <w:basedOn w:val="752"/>
    <w:link w:val="957"/>
    <w:uiPriority w:val="99"/>
    <w:semiHidden/>
    <w:rPr>
      <w:rFonts w:ascii="Tahoma" w:hAnsi="Tahoma"/>
      <w:sz w:val="16"/>
      <w:szCs w:val="16"/>
      <w:lang w:eastAsia="ru-RU"/>
    </w:rPr>
  </w:style>
  <w:style w:type="character" w:styleId="957" w:customStyle="1">
    <w:name w:val="Текст выноски Знак"/>
    <w:basedOn w:val="753"/>
    <w:link w:val="956"/>
    <w:uiPriority w:val="99"/>
    <w:semiHidden/>
    <w:rPr>
      <w:rFonts w:ascii="Tahoma" w:hAnsi="Tahoma" w:cs="Times New Roman"/>
      <w:sz w:val="16"/>
    </w:rPr>
  </w:style>
  <w:style w:type="paragraph" w:styleId="958">
    <w:name w:val="Normal (Web)"/>
    <w:basedOn w:val="752"/>
    <w:uiPriority w:val="99"/>
    <w:rPr>
      <w:rFonts w:ascii="Times New Roman" w:hAnsi="Times New Roman"/>
      <w:sz w:val="24"/>
      <w:szCs w:val="24"/>
      <w:lang w:eastAsia="ru-RU"/>
    </w:rPr>
    <w:pPr>
      <w:spacing w:after="117" w:before="59"/>
    </w:pPr>
  </w:style>
  <w:style w:type="character" w:styleId="959">
    <w:name w:val="Strong"/>
    <w:basedOn w:val="753"/>
    <w:qFormat/>
    <w:uiPriority w:val="99"/>
    <w:rPr>
      <w:rFonts w:cs="Times New Roman"/>
      <w:b/>
    </w:rPr>
  </w:style>
  <w:style w:type="paragraph" w:styleId="960">
    <w:name w:val="Body Text 2"/>
    <w:basedOn w:val="752"/>
    <w:link w:val="961"/>
    <w:uiPriority w:val="99"/>
    <w:semiHidden/>
    <w:rPr>
      <w:lang w:eastAsia="ru-RU"/>
    </w:rPr>
    <w:pPr>
      <w:spacing w:lineRule="auto" w:line="480" w:after="120"/>
    </w:pPr>
  </w:style>
  <w:style w:type="character" w:styleId="961" w:customStyle="1">
    <w:name w:val="Основной текст 2 Знак"/>
    <w:basedOn w:val="753"/>
    <w:link w:val="960"/>
    <w:uiPriority w:val="99"/>
    <w:semiHidden/>
    <w:rPr>
      <w:rFonts w:cs="Times New Roman"/>
      <w:sz w:val="22"/>
    </w:rPr>
  </w:style>
  <w:style w:type="character" w:styleId="962" w:customStyle="1">
    <w:name w:val="Заголовок 3 Знак"/>
    <w:link w:val="766"/>
    <w:uiPriority w:val="99"/>
    <w:semiHidden/>
    <w:rPr>
      <w:rFonts w:ascii="Cambria" w:hAnsi="Cambria"/>
      <w:b/>
      <w:sz w:val="26"/>
      <w:lang w:eastAsia="ru-RU"/>
    </w:rPr>
  </w:style>
  <w:style w:type="paragraph" w:styleId="963" w:customStyle="1">
    <w:name w:val="Header"/>
    <w:basedOn w:val="752"/>
    <w:link w:val="964"/>
    <w:uiPriority w:val="99"/>
    <w:rPr>
      <w:rFonts w:ascii="Times New Roman" w:hAnsi="Times New Roman"/>
      <w:sz w:val="20"/>
      <w:szCs w:val="20"/>
      <w:lang w:eastAsia="ru-RU"/>
    </w:rPr>
    <w:pPr>
      <w:tabs>
        <w:tab w:val="center" w:pos="4153" w:leader="none"/>
        <w:tab w:val="right" w:pos="8306" w:leader="none"/>
      </w:tabs>
    </w:pPr>
  </w:style>
  <w:style w:type="character" w:styleId="964" w:customStyle="1">
    <w:name w:val="Верхний колонтитул Знак"/>
    <w:basedOn w:val="753"/>
    <w:link w:val="963"/>
    <w:uiPriority w:val="99"/>
    <w:rPr>
      <w:rFonts w:ascii="Times New Roman" w:hAnsi="Times New Roman" w:cs="Times New Roman"/>
      <w:lang w:eastAsia="ru-RU"/>
    </w:rPr>
  </w:style>
  <w:style w:type="character" w:styleId="965">
    <w:name w:val="page number"/>
    <w:basedOn w:val="753"/>
    <w:uiPriority w:val="99"/>
    <w:rPr>
      <w:rFonts w:cs="Times New Roman"/>
    </w:rPr>
  </w:style>
  <w:style w:type="paragraph" w:styleId="966">
    <w:name w:val="Body Text Indent"/>
    <w:basedOn w:val="752"/>
    <w:link w:val="967"/>
    <w:uiPriority w:val="99"/>
    <w:rPr>
      <w:rFonts w:ascii="Times New Roman" w:hAnsi="Times New Roman" w:eastAsia="Batang"/>
      <w:sz w:val="20"/>
      <w:szCs w:val="20"/>
      <w:lang w:eastAsia="ru-RU"/>
    </w:rPr>
    <w:pPr>
      <w:ind w:left="283"/>
      <w:spacing w:after="120"/>
    </w:pPr>
  </w:style>
  <w:style w:type="character" w:styleId="967" w:customStyle="1">
    <w:name w:val="Основной текст с отступом Знак"/>
    <w:basedOn w:val="753"/>
    <w:link w:val="966"/>
    <w:uiPriority w:val="99"/>
    <w:rPr>
      <w:rFonts w:ascii="Times New Roman" w:hAnsi="Times New Roman" w:cs="Times New Roman" w:eastAsia="Batang"/>
      <w:lang w:eastAsia="ru-RU"/>
    </w:rPr>
  </w:style>
  <w:style w:type="character" w:styleId="968" w:customStyle="1">
    <w:name w:val="apple-converted-space"/>
    <w:basedOn w:val="753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D1C465F-9674-4038-BAA5-24307E8B372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1BD3C12-4A5C-442B-AFDA-A05E1A4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Карпенко Олександр Петрович</cp:lastModifiedBy>
  <cp:revision>54</cp:revision>
  <dcterms:created xsi:type="dcterms:W3CDTF">2021-11-05T12:00:00Z</dcterms:created>
  <dcterms:modified xsi:type="dcterms:W3CDTF">2023-11-07T13:26:13Z</dcterms:modified>
</cp:coreProperties>
</file>