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6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color w:val="000000"/>
          <w:sz w:val="16"/>
        </w:rPr>
      </w:r>
      <w:r/>
    </w:p>
    <w:p>
      <w:pPr>
        <w:pStyle w:val="916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07 листопада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659</w:t>
      </w:r>
      <w:r/>
    </w:p>
    <w:p>
      <w:pPr>
        <w:pStyle w:val="917"/>
        <w:tabs>
          <w:tab w:val="left" w:pos="4535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pStyle w:val="917"/>
        <w:ind w:right="5669"/>
        <w:jc w:val="both"/>
        <w:tabs>
          <w:tab w:val="left" w:pos="3969" w:leader="none"/>
          <w:tab w:val="left" w:pos="425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17"/>
        <w:ind w:right="513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91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</w:t>
      </w:r>
      <w:r>
        <w:rPr>
          <w:rFonts w:ascii="Times New Roman" w:hAnsi="Times New Roman"/>
          <w:sz w:val="28"/>
          <w:szCs w:val="28"/>
        </w:rPr>
        <w:t xml:space="preserve"> КСП «Шлях Жовтня» за межами с. Слобідка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КСП “Україна” за межами с. Городище, КСП “Полісся” за межами с. Синявка, </w:t>
      </w:r>
      <w:r>
        <w:rPr>
          <w:rFonts w:ascii="Times New Roman" w:hAnsi="Times New Roman"/>
          <w:sz w:val="28"/>
          <w:szCs w:val="28"/>
        </w:rPr>
        <w:t xml:space="preserve">КСП “Світанок” за межами с. Киселівка та с. Куковичі, 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1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17"/>
        <w:ind w:left="7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Слобідка:</w:t>
      </w:r>
      <w:r/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426" w:leader="none"/>
          <w:tab w:val="left" w:pos="992" w:leader="none"/>
        </w:tabs>
        <w:rPr>
          <w:color w:val="000000"/>
          <w:sz w:val="28"/>
          <w:szCs w:val="28"/>
          <w:lang w:val="uk-UA"/>
        </w:rPr>
        <w:suppressLineNumbers w:val="0"/>
      </w:pPr>
      <w:r>
        <w:rPr>
          <w:color w:val="000000" w:themeColor="text1"/>
          <w:sz w:val="28"/>
          <w:szCs w:val="28"/>
          <w:lang w:val="uk-UA"/>
        </w:rPr>
        <w:t xml:space="preserve">Бивалькевич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Вікторії Назарівні</w:t>
      </w:r>
      <w:r>
        <w:rPr>
          <w:color w:val="000000" w:themeColor="text1"/>
          <w:sz w:val="28"/>
          <w:szCs w:val="28"/>
          <w:lang w:val="uk-UA"/>
        </w:rPr>
        <w:t xml:space="preserve"> – </w:t>
      </w:r>
      <w:r>
        <w:rPr>
          <w:color w:val="000000"/>
          <w:sz w:val="28"/>
          <w:szCs w:val="28"/>
          <w:lang w:val="uk-UA"/>
        </w:rPr>
        <w:t xml:space="preserve">ЧН №0</w:t>
      </w:r>
      <w:r>
        <w:rPr>
          <w:color w:val="000000"/>
          <w:sz w:val="28"/>
          <w:szCs w:val="28"/>
          <w:lang w:val="uk-UA"/>
        </w:rPr>
        <w:t xml:space="preserve">095729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  <w:lang w:val="uk-UA"/>
        </w:rPr>
        <w:t xml:space="preserve">1</w:t>
      </w:r>
      <w:r>
        <w:rPr>
          <w:color w:val="000000" w:themeColor="text1"/>
          <w:sz w:val="28"/>
        </w:rPr>
        <w:t xml:space="preserve">.</w:t>
      </w:r>
      <w:r>
        <w:rPr>
          <w:color w:val="000000" w:themeColor="text1"/>
          <w:sz w:val="28"/>
          <w:lang w:val="uk-UA"/>
        </w:rPr>
        <w:t xml:space="preserve">09</w:t>
      </w:r>
      <w:r>
        <w:rPr>
          <w:color w:val="000000" w:themeColor="text1"/>
          <w:sz w:val="28"/>
        </w:rPr>
        <w:t xml:space="preserve">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2373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  <w:lang w:val="uk-UA"/>
        </w:rPr>
        <w:t xml:space="preserve">238</w:t>
      </w:r>
      <w:r>
        <w:rPr>
          <w:color w:val="000000" w:themeColor="text1"/>
          <w:sz w:val="28"/>
        </w:rPr>
        <w:t xml:space="preserve">/20</w:t>
      </w:r>
      <w:r>
        <w:rPr>
          <w:color w:val="000000" w:themeColor="text1"/>
          <w:sz w:val="28"/>
          <w:lang w:val="uk-UA"/>
        </w:rPr>
        <w:t xml:space="preserve">23</w:t>
      </w:r>
      <w:r>
        <w:rPr>
          <w:color w:val="000000" w:themeColor="text1"/>
          <w:sz w:val="28"/>
        </w:rPr>
        <w:t xml:space="preserve">;</w:t>
      </w:r>
      <w:r/>
    </w:p>
    <w:p>
      <w:pPr>
        <w:pStyle w:val="91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Городище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426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Булденко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Валентині Олексіївні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ЧН №0280959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</w:rPr>
        <w:t xml:space="preserve">свідоцтво</w:t>
      </w:r>
      <w:r>
        <w:rPr>
          <w:sz w:val="28"/>
        </w:rPr>
        <w:t xml:space="preserve"> </w:t>
      </w:r>
      <w:r>
        <w:rPr>
          <w:sz w:val="28"/>
        </w:rPr>
        <w:t xml:space="preserve">про право на </w:t>
      </w:r>
      <w:r>
        <w:rPr>
          <w:sz w:val="28"/>
        </w:rPr>
        <w:t xml:space="preserve">спадщину</w:t>
      </w:r>
      <w:r>
        <w:rPr>
          <w:sz w:val="28"/>
        </w:rPr>
        <w:t xml:space="preserve"> за </w:t>
      </w:r>
      <w:r>
        <w:rPr>
          <w:sz w:val="28"/>
        </w:rPr>
        <w:t xml:space="preserve">за</w:t>
      </w:r>
      <w:r>
        <w:rPr>
          <w:sz w:val="28"/>
          <w:lang w:val="uk-UA"/>
        </w:rPr>
        <w:t xml:space="preserve">повітом</w:t>
      </w:r>
      <w:r>
        <w:rPr>
          <w:sz w:val="28"/>
        </w:rPr>
        <w:t xml:space="preserve"> </w:t>
      </w:r>
      <w:r>
        <w:rPr>
          <w:sz w:val="28"/>
        </w:rPr>
        <w:t xml:space="preserve">від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2</w:t>
      </w:r>
      <w:r>
        <w:rPr>
          <w:sz w:val="28"/>
          <w:lang w:val="uk-UA"/>
        </w:rPr>
        <w:t xml:space="preserve">1</w:t>
      </w:r>
      <w:r>
        <w:rPr>
          <w:sz w:val="28"/>
        </w:rPr>
        <w:t xml:space="preserve">.</w:t>
      </w:r>
      <w:r>
        <w:rPr>
          <w:sz w:val="28"/>
          <w:lang w:val="uk-UA"/>
        </w:rPr>
        <w:t xml:space="preserve">09</w:t>
      </w:r>
      <w:r>
        <w:rPr>
          <w:sz w:val="28"/>
        </w:rPr>
        <w:t xml:space="preserve">.202</w:t>
      </w:r>
      <w:r>
        <w:rPr>
          <w:sz w:val="28"/>
          <w:lang w:val="uk-UA"/>
        </w:rPr>
        <w:t xml:space="preserve">3</w:t>
      </w:r>
      <w:r>
        <w:rPr>
          <w:sz w:val="28"/>
        </w:rPr>
        <w:t xml:space="preserve">, </w:t>
      </w:r>
      <w:r>
        <w:rPr>
          <w:sz w:val="28"/>
        </w:rPr>
        <w:t xml:space="preserve">зареєстроване</w:t>
      </w:r>
      <w:r>
        <w:rPr>
          <w:sz w:val="28"/>
        </w:rPr>
        <w:t xml:space="preserve"> в </w:t>
      </w:r>
      <w:r>
        <w:rPr>
          <w:sz w:val="28"/>
        </w:rPr>
        <w:t xml:space="preserve">реєстрі</w:t>
      </w:r>
      <w:r>
        <w:rPr>
          <w:sz w:val="28"/>
        </w:rPr>
        <w:t xml:space="preserve"> за №</w:t>
      </w:r>
      <w:r>
        <w:rPr>
          <w:sz w:val="28"/>
          <w:lang w:val="uk-UA"/>
        </w:rPr>
        <w:t xml:space="preserve">2365</w:t>
      </w:r>
      <w:r>
        <w:rPr>
          <w:sz w:val="28"/>
        </w:rPr>
        <w:t xml:space="preserve">, </w:t>
      </w:r>
      <w:r>
        <w:rPr>
          <w:sz w:val="28"/>
        </w:rPr>
        <w:t xml:space="preserve">спадкова</w:t>
      </w:r>
      <w:r>
        <w:rPr>
          <w:sz w:val="28"/>
        </w:rPr>
        <w:t xml:space="preserve"> справа № </w:t>
      </w:r>
      <w:r>
        <w:rPr>
          <w:sz w:val="28"/>
          <w:lang w:val="uk-UA"/>
        </w:rPr>
        <w:t xml:space="preserve">359</w:t>
      </w:r>
      <w:r>
        <w:rPr>
          <w:sz w:val="28"/>
        </w:rPr>
        <w:t xml:space="preserve">/20</w:t>
      </w:r>
      <w:r>
        <w:rPr>
          <w:sz w:val="28"/>
          <w:lang w:val="uk-UA"/>
        </w:rPr>
        <w:t xml:space="preserve">06</w:t>
      </w:r>
      <w:r>
        <w:rPr>
          <w:sz w:val="28"/>
          <w:lang w:val="uk-UA"/>
        </w:rPr>
        <w:t xml:space="preserve">;</w:t>
      </w:r>
      <w:r/>
    </w:p>
    <w:p>
      <w:pPr>
        <w:pStyle w:val="917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Синявка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426" w:leader="none"/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Герасименко</w:t>
      </w:r>
      <w:r>
        <w:rPr>
          <w:sz w:val="28"/>
          <w:szCs w:val="28"/>
          <w:lang w:val="uk-UA"/>
        </w:rPr>
        <w:t xml:space="preserve"> Галині Данилівні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ЧН №02</w:t>
      </w:r>
      <w:r>
        <w:rPr>
          <w:sz w:val="28"/>
          <w:szCs w:val="28"/>
          <w:lang w:val="uk-UA"/>
        </w:rPr>
        <w:t xml:space="preserve">69703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</w:rPr>
        <w:t xml:space="preserve">свідоцтво</w:t>
      </w:r>
      <w:r>
        <w:rPr>
          <w:sz w:val="28"/>
        </w:rPr>
        <w:t xml:space="preserve"> про право на </w:t>
      </w:r>
      <w:r>
        <w:rPr>
          <w:sz w:val="28"/>
        </w:rPr>
        <w:t xml:space="preserve">спадщину</w:t>
      </w:r>
      <w:r>
        <w:rPr>
          <w:sz w:val="28"/>
        </w:rPr>
        <w:t xml:space="preserve"> за </w:t>
      </w:r>
      <w:r>
        <w:rPr>
          <w:color w:val="000000" w:themeColor="text1"/>
          <w:sz w:val="28"/>
          <w:lang w:val="uk-UA"/>
        </w:rPr>
        <w:t xml:space="preserve">за</w:t>
      </w:r>
      <w:r>
        <w:rPr>
          <w:color w:val="000000" w:themeColor="text1"/>
          <w:sz w:val="28"/>
          <w:lang w:val="uk-UA"/>
        </w:rPr>
        <w:t xml:space="preserve">повітом</w:t>
      </w:r>
      <w:r>
        <w:rPr>
          <w:color w:val="000000" w:themeColor="text1"/>
          <w:sz w:val="28"/>
          <w:lang w:val="uk-UA"/>
        </w:rPr>
        <w:t xml:space="preserve"> </w:t>
      </w:r>
      <w:r>
        <w:rPr>
          <w:sz w:val="28"/>
        </w:rPr>
        <w:t xml:space="preserve">від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10</w:t>
      </w:r>
      <w:r>
        <w:rPr>
          <w:sz w:val="28"/>
        </w:rPr>
        <w:t xml:space="preserve">.</w:t>
      </w:r>
      <w:r>
        <w:rPr>
          <w:sz w:val="28"/>
          <w:lang w:val="uk-UA"/>
        </w:rPr>
        <w:t xml:space="preserve">10</w:t>
      </w:r>
      <w:r>
        <w:rPr>
          <w:sz w:val="28"/>
        </w:rPr>
        <w:t xml:space="preserve">.202</w:t>
      </w:r>
      <w:r>
        <w:rPr>
          <w:sz w:val="28"/>
          <w:lang w:val="uk-UA"/>
        </w:rPr>
        <w:t xml:space="preserve">3</w:t>
      </w:r>
      <w:r>
        <w:rPr>
          <w:sz w:val="28"/>
        </w:rPr>
        <w:t xml:space="preserve">, </w:t>
      </w:r>
      <w:r>
        <w:rPr>
          <w:sz w:val="28"/>
        </w:rPr>
        <w:t xml:space="preserve">зареєстроване</w:t>
      </w:r>
      <w:r>
        <w:rPr>
          <w:sz w:val="28"/>
        </w:rPr>
        <w:t xml:space="preserve"> в </w:t>
      </w:r>
      <w:r>
        <w:rPr>
          <w:sz w:val="28"/>
        </w:rPr>
        <w:t xml:space="preserve">реєстрі</w:t>
      </w:r>
      <w:r>
        <w:rPr>
          <w:sz w:val="28"/>
        </w:rPr>
        <w:t xml:space="preserve"> за №</w:t>
      </w:r>
      <w:r>
        <w:rPr>
          <w:sz w:val="28"/>
          <w:lang w:val="uk-UA"/>
        </w:rPr>
        <w:t xml:space="preserve">2365</w:t>
      </w:r>
      <w:r>
        <w:rPr>
          <w:sz w:val="28"/>
        </w:rPr>
        <w:t xml:space="preserve">, </w:t>
      </w:r>
      <w:r>
        <w:rPr>
          <w:sz w:val="28"/>
        </w:rPr>
        <w:t xml:space="preserve">спадкова</w:t>
      </w:r>
      <w:r>
        <w:rPr>
          <w:sz w:val="28"/>
        </w:rPr>
        <w:t xml:space="preserve"> справа № </w:t>
      </w:r>
      <w:r>
        <w:rPr>
          <w:sz w:val="28"/>
          <w:lang w:val="uk-UA"/>
        </w:rPr>
        <w:t xml:space="preserve">853</w:t>
      </w:r>
      <w:r>
        <w:rPr>
          <w:sz w:val="28"/>
        </w:rPr>
        <w:t xml:space="preserve">/20</w:t>
      </w:r>
      <w:r>
        <w:rPr>
          <w:sz w:val="28"/>
          <w:lang w:val="uk-UA"/>
        </w:rPr>
        <w:t xml:space="preserve">08</w:t>
      </w:r>
      <w:r>
        <w:rPr>
          <w:sz w:val="28"/>
          <w:lang w:val="uk-UA"/>
        </w:rPr>
        <w:t xml:space="preserve">;</w:t>
      </w:r>
      <w:r/>
    </w:p>
    <w:p>
      <w:pPr>
        <w:pStyle w:val="917"/>
        <w:ind w:left="786"/>
        <w:jc w:val="both"/>
        <w:rPr>
          <w:rFonts w:ascii="Times New Roman" w:hAnsi="Times New Roman"/>
          <w:color w:val="000000"/>
          <w:sz w:val="28"/>
          <w:highlight w:val="non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Киселівка та с. Куковичі: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426" w:leader="none"/>
          <w:tab w:val="left" w:pos="992" w:leader="none"/>
        </w:tabs>
        <w:rPr>
          <w:color w:val="000000"/>
          <w:sz w:val="28"/>
          <w:highlight w:val="none"/>
        </w:rPr>
      </w:pPr>
      <w:r>
        <w:rPr>
          <w:color w:val="000000" w:themeColor="text1"/>
          <w:sz w:val="28"/>
          <w:szCs w:val="28"/>
          <w:lang w:val="uk-UA"/>
        </w:rPr>
        <w:t xml:space="preserve">Дорошенко Оксана Миколаївна – </w:t>
      </w:r>
      <w:r>
        <w:rPr>
          <w:color w:val="000000"/>
          <w:sz w:val="28"/>
          <w:szCs w:val="28"/>
          <w:lang w:val="uk-UA"/>
        </w:rPr>
        <w:t xml:space="preserve">РН №965605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</w:t>
      </w:r>
      <w:r>
        <w:rPr>
          <w:color w:val="000000" w:themeColor="text1"/>
          <w:sz w:val="28"/>
        </w:rPr>
        <w:t xml:space="preserve">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</w:rPr>
        <w:t xml:space="preserve">6.</w:t>
      </w:r>
      <w:r>
        <w:rPr>
          <w:color w:val="000000" w:themeColor="text1"/>
          <w:sz w:val="28"/>
        </w:rPr>
        <w:t xml:space="preserve">10.202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2832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</w:rPr>
        <w:t xml:space="preserve">312/20</w:t>
      </w:r>
      <w:r>
        <w:rPr>
          <w:color w:val="000000" w:themeColor="text1"/>
          <w:sz w:val="28"/>
          <w:lang w:val="uk-UA"/>
        </w:rPr>
        <w:t xml:space="preserve">23</w:t>
      </w:r>
      <w:r>
        <w:rPr>
          <w:color w:val="000000" w:themeColor="text1"/>
          <w:sz w:val="28"/>
        </w:rPr>
        <w:t xml:space="preserve">;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</w:rPr>
        <w:t xml:space="preserve">6.</w:t>
      </w:r>
      <w:r>
        <w:rPr>
          <w:color w:val="000000" w:themeColor="text1"/>
          <w:sz w:val="28"/>
        </w:rPr>
        <w:t xml:space="preserve">10.202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2833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</w:rPr>
        <w:t xml:space="preserve">146/20</w:t>
      </w:r>
      <w:r>
        <w:rPr>
          <w:color w:val="000000" w:themeColor="text1"/>
          <w:sz w:val="28"/>
        </w:rPr>
        <w:t xml:space="preserve">19;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426" w:leader="none"/>
          <w:tab w:val="left" w:pos="992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 w:themeColor="text1"/>
          <w:sz w:val="28"/>
          <w:szCs w:val="28"/>
          <w:lang w:val="uk-UA"/>
        </w:rPr>
        <w:t xml:space="preserve">Дорошенко </w:t>
      </w:r>
      <w:r>
        <w:rPr>
          <w:color w:val="000000" w:themeColor="text1"/>
          <w:sz w:val="28"/>
          <w:szCs w:val="28"/>
          <w:lang w:val="uk-UA"/>
        </w:rPr>
        <w:t xml:space="preserve">Оксана Миколаївна – </w:t>
      </w:r>
      <w:r>
        <w:rPr>
          <w:color w:val="000000"/>
          <w:sz w:val="28"/>
          <w:szCs w:val="28"/>
          <w:lang w:val="uk-UA"/>
        </w:rPr>
        <w:t xml:space="preserve">РН №965609</w: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  <w:lang w:val="uk-UA"/>
        </w:rPr>
        <w:t xml:space="preserve">2</w:t>
      </w:r>
      <w:r>
        <w:rPr>
          <w:color w:val="000000" w:themeColor="text1"/>
          <w:sz w:val="28"/>
        </w:rPr>
        <w:t xml:space="preserve">6.</w:t>
      </w:r>
      <w:r>
        <w:rPr>
          <w:color w:val="000000" w:themeColor="text1"/>
          <w:sz w:val="28"/>
        </w:rPr>
        <w:t xml:space="preserve">10.202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2831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</w:rPr>
        <w:t xml:space="preserve">312/20</w:t>
      </w:r>
      <w:r>
        <w:rPr>
          <w:color w:val="000000" w:themeColor="text1"/>
          <w:sz w:val="28"/>
        </w:rPr>
        <w:t xml:space="preserve">23;</w:t>
      </w:r>
      <w:r>
        <w:rPr>
          <w:color w:val="000000" w:themeColor="text1"/>
          <w:sz w:val="28"/>
          <w:highlight w:val="none"/>
        </w:rPr>
      </w:r>
      <w:r/>
    </w:p>
    <w:p>
      <w:pPr>
        <w:pStyle w:val="917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межами с. Городище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18"/>
        <w:numPr>
          <w:ilvl w:val="0"/>
          <w:numId w:val="10"/>
        </w:numPr>
        <w:ind w:left="0" w:firstLine="567"/>
        <w:jc w:val="both"/>
        <w:spacing w:after="0" w:afterAutospacing="0" w:before="0" w:beforeAutospacing="0"/>
        <w:tabs>
          <w:tab w:val="left" w:pos="426" w:leader="none"/>
          <w:tab w:val="left" w:pos="992" w:leader="none"/>
        </w:tabs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highlight w:val="none"/>
        </w:rPr>
        <w:t xml:space="preserve">Куц </w:t>
      </w:r>
      <w:r>
        <w:rPr>
          <w:color w:val="000000" w:themeColor="text1"/>
          <w:sz w:val="28"/>
          <w:highlight w:val="none"/>
        </w:rPr>
        <w:t xml:space="preserve">Тетяна Феодосіївна - ЧН №0177463 - </w:t>
      </w:r>
      <w:r>
        <w:rPr>
          <w:color w:val="000000" w:themeColor="text1"/>
          <w:sz w:val="28"/>
        </w:rPr>
        <w:t xml:space="preserve">свідоцтво</w:t>
      </w:r>
      <w:r>
        <w:rPr>
          <w:color w:val="000000" w:themeColor="text1"/>
          <w:sz w:val="28"/>
        </w:rPr>
        <w:t xml:space="preserve"> про пра</w:t>
      </w:r>
      <w:r>
        <w:rPr>
          <w:color w:val="000000" w:themeColor="text1"/>
          <w:sz w:val="28"/>
        </w:rPr>
        <w:t xml:space="preserve">во на </w:t>
      </w:r>
      <w:r>
        <w:rPr>
          <w:color w:val="000000" w:themeColor="text1"/>
          <w:sz w:val="28"/>
        </w:rPr>
        <w:t xml:space="preserve">спадщину</w:t>
      </w:r>
      <w:r>
        <w:rPr>
          <w:color w:val="000000" w:themeColor="text1"/>
          <w:sz w:val="28"/>
        </w:rPr>
        <w:t xml:space="preserve"> за законом </w:t>
      </w:r>
      <w:r>
        <w:rPr>
          <w:color w:val="000000" w:themeColor="text1"/>
          <w:sz w:val="28"/>
        </w:rPr>
        <w:t xml:space="preserve">від</w:t>
      </w:r>
      <w:r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03.</w:t>
      </w:r>
      <w:r>
        <w:rPr>
          <w:color w:val="000000" w:themeColor="text1"/>
          <w:sz w:val="28"/>
        </w:rPr>
        <w:t xml:space="preserve">10.202</w:t>
      </w:r>
      <w:r>
        <w:rPr>
          <w:color w:val="000000" w:themeColor="text1"/>
          <w:sz w:val="28"/>
          <w:lang w:val="uk-UA"/>
        </w:rPr>
        <w:t xml:space="preserve">3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зареєстроване</w:t>
      </w:r>
      <w:r>
        <w:rPr>
          <w:color w:val="000000" w:themeColor="text1"/>
          <w:sz w:val="28"/>
        </w:rPr>
        <w:t xml:space="preserve"> в </w:t>
      </w:r>
      <w:r>
        <w:rPr>
          <w:color w:val="000000" w:themeColor="text1"/>
          <w:sz w:val="28"/>
        </w:rPr>
        <w:t xml:space="preserve">реєстрі</w:t>
      </w:r>
      <w:r>
        <w:rPr>
          <w:color w:val="000000" w:themeColor="text1"/>
          <w:sz w:val="28"/>
        </w:rPr>
        <w:t xml:space="preserve"> за №</w:t>
      </w:r>
      <w:r>
        <w:rPr>
          <w:color w:val="000000" w:themeColor="text1"/>
          <w:sz w:val="28"/>
          <w:lang w:val="uk-UA"/>
        </w:rPr>
        <w:t xml:space="preserve">2537</w:t>
      </w:r>
      <w:r>
        <w:rPr>
          <w:color w:val="000000" w:themeColor="text1"/>
          <w:sz w:val="28"/>
        </w:rPr>
        <w:t xml:space="preserve">, </w:t>
      </w:r>
      <w:r>
        <w:rPr>
          <w:color w:val="000000" w:themeColor="text1"/>
          <w:sz w:val="28"/>
        </w:rPr>
        <w:t xml:space="preserve">спадкова</w:t>
      </w:r>
      <w:r>
        <w:rPr>
          <w:color w:val="000000" w:themeColor="text1"/>
          <w:sz w:val="28"/>
        </w:rPr>
        <w:t xml:space="preserve"> справа № </w:t>
      </w:r>
      <w:r>
        <w:rPr>
          <w:color w:val="000000" w:themeColor="text1"/>
          <w:sz w:val="28"/>
        </w:rPr>
        <w:t xml:space="preserve">821/20</w:t>
      </w:r>
      <w:r>
        <w:rPr>
          <w:color w:val="000000" w:themeColor="text1"/>
          <w:sz w:val="28"/>
        </w:rPr>
        <w:t xml:space="preserve">08.</w:t>
      </w:r>
      <w:r>
        <w:rPr>
          <w:color w:val="000000" w:themeColor="text1"/>
          <w:sz w:val="28"/>
          <w:highlight w:val="none"/>
        </w:rPr>
      </w:r>
      <w:r/>
    </w:p>
    <w:p>
      <w:pPr>
        <w:pStyle w:val="91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1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1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7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</w:pPr>
    <w:fldSimple w:instr="PAGE \* MERGEFORMAT">
      <w:r>
        <w:t xml:space="preserve">1</w:t>
      </w:r>
    </w:fldSimple>
    <w:r/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 w:default="1">
    <w:name w:val="Normal"/>
    <w:qFormat/>
  </w:style>
  <w:style w:type="character" w:styleId="718" w:default="1">
    <w:name w:val="Default Paragraph Font"/>
    <w:uiPriority w:val="1"/>
    <w:semiHidden/>
    <w:unhideWhenUsed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paragraph" w:styleId="721" w:customStyle="1">
    <w:name w:val="Heading 1"/>
    <w:link w:val="7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2" w:customStyle="1">
    <w:name w:val="Heading 2"/>
    <w:link w:val="74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3" w:customStyle="1">
    <w:name w:val="Heading 3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4" w:customStyle="1">
    <w:name w:val="Heading 4"/>
    <w:link w:val="74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5" w:customStyle="1">
    <w:name w:val="Heading 5"/>
    <w:link w:val="7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6" w:customStyle="1">
    <w:name w:val="Heading 6"/>
    <w:link w:val="75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7" w:customStyle="1">
    <w:name w:val="Heading 7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8" w:customStyle="1">
    <w:name w:val="Heading 8"/>
    <w:link w:val="75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9" w:customStyle="1">
    <w:name w:val="Heading 9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0" w:customStyle="1">
    <w:name w:val="Heading 1 Char"/>
    <w:basedOn w:val="718"/>
    <w:uiPriority w:val="9"/>
    <w:rPr>
      <w:rFonts w:ascii="Arial" w:hAnsi="Arial" w:cs="Arial" w:eastAsia="Arial"/>
      <w:sz w:val="40"/>
      <w:szCs w:val="40"/>
    </w:rPr>
  </w:style>
  <w:style w:type="character" w:styleId="731" w:customStyle="1">
    <w:name w:val="Heading 2 Char"/>
    <w:basedOn w:val="718"/>
    <w:uiPriority w:val="9"/>
    <w:rPr>
      <w:rFonts w:ascii="Arial" w:hAnsi="Arial" w:cs="Arial" w:eastAsia="Arial"/>
      <w:sz w:val="34"/>
    </w:rPr>
  </w:style>
  <w:style w:type="character" w:styleId="732" w:customStyle="1">
    <w:name w:val="Heading 3 Char"/>
    <w:basedOn w:val="718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Heading 4 Char"/>
    <w:basedOn w:val="718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Heading 5 Char"/>
    <w:basedOn w:val="718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Heading 6 Char"/>
    <w:basedOn w:val="718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Heading 7 Char"/>
    <w:basedOn w:val="7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Heading 8 Char"/>
    <w:basedOn w:val="718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Heading 9 Char"/>
    <w:basedOn w:val="718"/>
    <w:uiPriority w:val="9"/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Title Char"/>
    <w:basedOn w:val="718"/>
    <w:uiPriority w:val="10"/>
    <w:rPr>
      <w:sz w:val="48"/>
      <w:szCs w:val="48"/>
    </w:rPr>
  </w:style>
  <w:style w:type="character" w:styleId="740" w:customStyle="1">
    <w:name w:val="Subtitle Char"/>
    <w:basedOn w:val="718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Footnote Text Char"/>
    <w:uiPriority w:val="99"/>
    <w:rPr>
      <w:sz w:val="18"/>
    </w:rPr>
  </w:style>
  <w:style w:type="character" w:styleId="744" w:customStyle="1">
    <w:name w:val="Endnote Text Char"/>
    <w:uiPriority w:val="99"/>
    <w:rPr>
      <w:sz w:val="20"/>
    </w:rPr>
  </w:style>
  <w:style w:type="character" w:styleId="745" w:customStyle="1">
    <w:name w:val="Заголовок 1 Знак"/>
    <w:link w:val="721"/>
    <w:uiPriority w:val="9"/>
    <w:rPr>
      <w:rFonts w:ascii="Arial" w:hAnsi="Arial" w:cs="Arial" w:eastAsia="Arial"/>
      <w:sz w:val="40"/>
      <w:szCs w:val="40"/>
    </w:rPr>
  </w:style>
  <w:style w:type="character" w:styleId="746" w:customStyle="1">
    <w:name w:val="Заголовок 2 Знак"/>
    <w:link w:val="722"/>
    <w:uiPriority w:val="9"/>
    <w:rPr>
      <w:rFonts w:ascii="Arial" w:hAnsi="Arial" w:cs="Arial" w:eastAsia="Arial"/>
      <w:sz w:val="34"/>
    </w:rPr>
  </w:style>
  <w:style w:type="character" w:styleId="747" w:customStyle="1">
    <w:name w:val="Заголовок 3 Знак"/>
    <w:link w:val="723"/>
    <w:uiPriority w:val="9"/>
    <w:rPr>
      <w:rFonts w:ascii="Arial" w:hAnsi="Arial" w:cs="Arial" w:eastAsia="Arial"/>
      <w:sz w:val="30"/>
      <w:szCs w:val="30"/>
    </w:rPr>
  </w:style>
  <w:style w:type="character" w:styleId="748" w:customStyle="1">
    <w:name w:val="Заголовок 4 Знак"/>
    <w:link w:val="724"/>
    <w:uiPriority w:val="9"/>
    <w:rPr>
      <w:rFonts w:ascii="Arial" w:hAnsi="Arial" w:cs="Arial" w:eastAsia="Arial"/>
      <w:b/>
      <w:bCs/>
      <w:sz w:val="26"/>
      <w:szCs w:val="26"/>
    </w:rPr>
  </w:style>
  <w:style w:type="character" w:styleId="749" w:customStyle="1">
    <w:name w:val="Заголовок 5 Знак"/>
    <w:link w:val="725"/>
    <w:uiPriority w:val="9"/>
    <w:rPr>
      <w:rFonts w:ascii="Arial" w:hAnsi="Arial" w:cs="Arial" w:eastAsia="Arial"/>
      <w:b/>
      <w:bCs/>
      <w:sz w:val="24"/>
      <w:szCs w:val="24"/>
    </w:rPr>
  </w:style>
  <w:style w:type="character" w:styleId="750" w:customStyle="1">
    <w:name w:val="Заголовок 6 Знак"/>
    <w:link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51" w:customStyle="1">
    <w:name w:val="Заголовок 7 Знак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2" w:customStyle="1">
    <w:name w:val="Заголовок 8 Знак"/>
    <w:link w:val="728"/>
    <w:uiPriority w:val="9"/>
    <w:rPr>
      <w:rFonts w:ascii="Arial" w:hAnsi="Arial" w:cs="Arial" w:eastAsia="Arial"/>
      <w:i/>
      <w:iCs/>
      <w:sz w:val="22"/>
      <w:szCs w:val="22"/>
    </w:rPr>
  </w:style>
  <w:style w:type="character" w:styleId="753" w:customStyle="1">
    <w:name w:val="Заголовок 9 Знак"/>
    <w:link w:val="729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qFormat/>
    <w:uiPriority w:val="34"/>
    <w:pPr>
      <w:contextualSpacing w:val="true"/>
      <w:ind w:left="720"/>
    </w:pPr>
  </w:style>
  <w:style w:type="paragraph" w:styleId="755">
    <w:name w:val="No Spacing"/>
    <w:qFormat/>
    <w:uiPriority w:val="1"/>
  </w:style>
  <w:style w:type="paragraph" w:styleId="756">
    <w:name w:val="Title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Название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Header"/>
    <w:basedOn w:val="717"/>
    <w:link w:val="914"/>
    <w:pPr>
      <w:tabs>
        <w:tab w:val="center" w:pos="4677" w:leader="none"/>
        <w:tab w:val="right" w:pos="9355" w:leader="none"/>
      </w:tabs>
    </w:pPr>
  </w:style>
  <w:style w:type="character" w:styleId="765" w:customStyle="1">
    <w:name w:val="Header Char"/>
    <w:uiPriority w:val="99"/>
  </w:style>
  <w:style w:type="paragraph" w:styleId="766" w:customStyle="1">
    <w:name w:val="Footer"/>
    <w:basedOn w:val="717"/>
    <w:link w:val="915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9" w:customStyle="1">
    <w:name w:val="Caption Char"/>
    <w:uiPriority w:val="99"/>
  </w:style>
  <w:style w:type="table" w:styleId="77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6">
    <w:name w:val="Hyperlink"/>
    <w:rPr>
      <w:color w:val="0563C1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pPr>
      <w:spacing w:after="57"/>
    </w:pPr>
  </w:style>
  <w:style w:type="paragraph" w:styleId="904">
    <w:name w:val="toc 2"/>
    <w:uiPriority w:val="39"/>
    <w:unhideWhenUsed/>
    <w:pPr>
      <w:ind w:left="283"/>
      <w:spacing w:after="57"/>
    </w:pPr>
  </w:style>
  <w:style w:type="paragraph" w:styleId="905">
    <w:name w:val="toc 3"/>
    <w:uiPriority w:val="39"/>
    <w:unhideWhenUsed/>
    <w:pPr>
      <w:ind w:left="567"/>
      <w:spacing w:after="57"/>
    </w:pPr>
  </w:style>
  <w:style w:type="paragraph" w:styleId="906">
    <w:name w:val="toc 4"/>
    <w:uiPriority w:val="39"/>
    <w:unhideWhenUsed/>
    <w:pPr>
      <w:ind w:left="850"/>
      <w:spacing w:after="57"/>
    </w:pPr>
  </w:style>
  <w:style w:type="paragraph" w:styleId="907">
    <w:name w:val="toc 5"/>
    <w:uiPriority w:val="39"/>
    <w:unhideWhenUsed/>
    <w:pPr>
      <w:ind w:left="1134"/>
      <w:spacing w:after="57"/>
    </w:pPr>
  </w:style>
  <w:style w:type="paragraph" w:styleId="908">
    <w:name w:val="toc 6"/>
    <w:uiPriority w:val="39"/>
    <w:unhideWhenUsed/>
    <w:pPr>
      <w:ind w:left="1417"/>
      <w:spacing w:after="57"/>
    </w:pPr>
  </w:style>
  <w:style w:type="paragraph" w:styleId="909">
    <w:name w:val="toc 7"/>
    <w:uiPriority w:val="39"/>
    <w:unhideWhenUsed/>
    <w:pPr>
      <w:ind w:left="1701"/>
      <w:spacing w:after="57"/>
    </w:pPr>
  </w:style>
  <w:style w:type="paragraph" w:styleId="910">
    <w:name w:val="toc 8"/>
    <w:uiPriority w:val="39"/>
    <w:unhideWhenUsed/>
    <w:pPr>
      <w:ind w:left="1984"/>
      <w:spacing w:after="57"/>
    </w:pPr>
  </w:style>
  <w:style w:type="paragraph" w:styleId="911">
    <w:name w:val="toc 9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uiPriority w:val="99"/>
    <w:unhideWhenUsed/>
  </w:style>
  <w:style w:type="character" w:styleId="914" w:customStyle="1">
    <w:name w:val="Верхний колонтитул Знак"/>
    <w:link w:val="764"/>
    <w:rPr>
      <w:rFonts w:ascii="Calibri" w:hAnsi="Calibri"/>
      <w:sz w:val="22"/>
      <w:szCs w:val="22"/>
      <w:lang w:eastAsia="en-US"/>
    </w:rPr>
  </w:style>
  <w:style w:type="character" w:styleId="915" w:customStyle="1">
    <w:name w:val="Нижний колонтитул Знак"/>
    <w:link w:val="766"/>
    <w:rPr>
      <w:rFonts w:ascii="Calibri" w:hAnsi="Calibri"/>
      <w:sz w:val="22"/>
      <w:szCs w:val="22"/>
      <w:lang w:eastAsia="en-US"/>
    </w:rPr>
  </w:style>
  <w:style w:type="paragraph" w:styleId="916" w:customStyle="1">
    <w:name w:val="Без интервала1"/>
    <w:rPr>
      <w:lang w:val="ru-RU"/>
    </w:rPr>
  </w:style>
  <w:style w:type="paragraph" w:styleId="91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18" w:customStyle="1">
    <w:name w:val="docdata"/>
    <w:basedOn w:val="71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67</cp:revision>
  <dcterms:created xsi:type="dcterms:W3CDTF">2022-09-09T06:05:00Z</dcterms:created>
  <dcterms:modified xsi:type="dcterms:W3CDTF">2023-11-08T14:54:57Z</dcterms:modified>
</cp:coreProperties>
</file>