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40"/>
        <w:jc w:val="both"/>
        <w:spacing w:lineRule="auto" w:line="24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ЗАТВЕРДЖ</w:t>
      </w:r>
      <w:r>
        <w:rPr>
          <w:rFonts w:eastAsia="Times New Roman"/>
          <w:sz w:val="28"/>
          <w:szCs w:val="28"/>
          <w:lang w:eastAsia="ru-RU"/>
        </w:rPr>
        <w:t xml:space="preserve">ЕНО</w:t>
      </w:r>
      <w:r/>
    </w:p>
    <w:p>
      <w:pPr>
        <w:ind w:left="5940"/>
        <w:jc w:val="both"/>
        <w:spacing w:lineRule="auto" w:line="24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Рішенням 40 сесії скликання Менської міської ради </w:t>
      </w:r>
      <w:r>
        <w:rPr>
          <w:rFonts w:eastAsia="Times New Roman"/>
          <w:sz w:val="28"/>
          <w:szCs w:val="28"/>
          <w:lang w:eastAsia="ru-RU"/>
        </w:rPr>
        <w:t xml:space="preserve">_________________№_______</w:t>
      </w:r>
      <w:r/>
    </w:p>
    <w:p>
      <w:pPr>
        <w:pStyle w:val="874"/>
        <w:jc w:val="center"/>
        <w:spacing w:after="0" w:afterAutospacing="0" w:before="0" w:beforeAutospacing="0"/>
        <w:shd w:val="clear" w:fill="FFFFFF" w:color="auto"/>
        <w:rPr>
          <w:rStyle w:val="875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4"/>
        <w:jc w:val="center"/>
        <w:spacing w:after="0" w:afterAutospacing="0" w:before="0" w:beforeAutospacing="0"/>
        <w:shd w:val="clear" w:fill="FFFFFF" w:color="auto"/>
        <w:rPr>
          <w:rStyle w:val="875"/>
          <w:sz w:val="28"/>
          <w:szCs w:val="28"/>
        </w:rPr>
      </w:pPr>
      <w:r>
        <w:rPr>
          <w:rStyle w:val="875"/>
          <w:sz w:val="28"/>
          <w:szCs w:val="28"/>
        </w:rPr>
        <w:t xml:space="preserve">Положення</w:t>
      </w:r>
      <w:r/>
    </w:p>
    <w:p>
      <w:pPr>
        <w:pStyle w:val="874"/>
        <w:jc w:val="center"/>
        <w:spacing w:after="0" w:afterAutospacing="0" w:before="0" w:beforeAutospacing="0"/>
        <w:shd w:val="clear" w:fill="FFFFFF" w:color="auto"/>
        <w:rPr>
          <w:rStyle w:val="875"/>
          <w:sz w:val="28"/>
          <w:szCs w:val="28"/>
        </w:rPr>
      </w:pPr>
      <w:r>
        <w:rPr>
          <w:rStyle w:val="875"/>
          <w:sz w:val="28"/>
          <w:szCs w:val="28"/>
        </w:rPr>
        <w:t xml:space="preserve">про радників </w:t>
      </w:r>
      <w:r>
        <w:rPr>
          <w:rStyle w:val="875"/>
          <w:sz w:val="28"/>
          <w:szCs w:val="28"/>
        </w:rPr>
        <w:t xml:space="preserve">Менського міського голови</w:t>
      </w:r>
      <w:r/>
    </w:p>
    <w:p>
      <w:pPr>
        <w:pStyle w:val="874"/>
        <w:jc w:val="center"/>
        <w:spacing w:after="0" w:afterAutospacing="0" w:before="0" w:beforeAutospacing="0"/>
        <w:shd w:val="clear" w:fill="FFFFFF" w:color="auto"/>
        <w:rPr>
          <w:rStyle w:val="875"/>
          <w:sz w:val="28"/>
          <w:szCs w:val="28"/>
        </w:rPr>
      </w:pPr>
      <w:r>
        <w:rPr>
          <w:rStyle w:val="875"/>
          <w:sz w:val="28"/>
          <w:szCs w:val="28"/>
        </w:rPr>
        <w:t xml:space="preserve">на громадських засадах </w:t>
      </w:r>
      <w:r/>
    </w:p>
    <w:p>
      <w:pPr>
        <w:pStyle w:val="874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4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І. Загальні положення</w:t>
      </w:r>
      <w:r/>
    </w:p>
    <w:p>
      <w:pPr>
        <w:pStyle w:val="874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1. Це Положення встановлює правовий статус та визначає повноваження, компетенцію і умови діяльності радників </w:t>
      </w:r>
      <w:r>
        <w:rPr>
          <w:rStyle w:val="875"/>
          <w:b w:val="false"/>
          <w:sz w:val="28"/>
          <w:szCs w:val="28"/>
        </w:rPr>
        <w:t xml:space="preserve">Менського міського голови </w:t>
      </w:r>
      <w:r>
        <w:rPr>
          <w:sz w:val="28"/>
          <w:szCs w:val="28"/>
        </w:rPr>
        <w:t xml:space="preserve">на громадських засадах. 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2. </w:t>
      </w:r>
      <w:r>
        <w:rPr>
          <w:rStyle w:val="875"/>
          <w:b w:val="false"/>
          <w:sz w:val="28"/>
          <w:szCs w:val="28"/>
        </w:rPr>
        <w:t xml:space="preserve">Менський міський голова </w:t>
      </w:r>
      <w:r>
        <w:rPr>
          <w:rStyle w:val="875"/>
          <w:b w:val="false"/>
          <w:sz w:val="28"/>
          <w:szCs w:val="28"/>
        </w:rPr>
        <w:t xml:space="preserve">може мати позаштатних радників на громадських засадах (далі </w:t>
      </w:r>
      <w:r>
        <w:rPr>
          <w:rStyle w:val="875"/>
          <w:b w:val="false"/>
          <w:sz w:val="28"/>
          <w:szCs w:val="28"/>
        </w:rPr>
        <w:t xml:space="preserve">-</w:t>
      </w:r>
      <w:r>
        <w:rPr>
          <w:rStyle w:val="875"/>
          <w:b w:val="false"/>
          <w:sz w:val="28"/>
          <w:szCs w:val="28"/>
        </w:rPr>
        <w:t xml:space="preserve"> радники) </w:t>
      </w:r>
      <w:r>
        <w:rPr>
          <w:rStyle w:val="875"/>
          <w:b w:val="false"/>
          <w:sz w:val="28"/>
          <w:szCs w:val="28"/>
        </w:rPr>
        <w:t xml:space="preserve">по різноманітних напрямках </w:t>
      </w:r>
      <w:r>
        <w:rPr>
          <w:rStyle w:val="875"/>
          <w:b w:val="false"/>
          <w:sz w:val="28"/>
          <w:szCs w:val="28"/>
        </w:rPr>
        <w:t xml:space="preserve">діяльності</w:t>
      </w:r>
      <w:r>
        <w:rPr>
          <w:rStyle w:val="875"/>
          <w:b w:val="false"/>
          <w:sz w:val="28"/>
          <w:szCs w:val="28"/>
        </w:rPr>
        <w:t xml:space="preserve">.</w:t>
      </w:r>
      <w:r>
        <w:rPr>
          <w:rStyle w:val="875"/>
          <w:b w:val="false"/>
          <w:sz w:val="28"/>
        </w:rPr>
      </w:r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Style w:val="875"/>
          <w:b w:val="false"/>
          <w:sz w:val="28"/>
          <w:szCs w:val="28"/>
        </w:rPr>
        <w:t xml:space="preserve">Менський міський голова </w:t>
      </w:r>
      <w:r>
        <w:rPr>
          <w:sz w:val="28"/>
          <w:szCs w:val="28"/>
        </w:rPr>
        <w:t xml:space="preserve">самостійно здійснює персональний підбір кандидатур на посади радників.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Призначення на посаду радника здійснюється розпорядженням </w:t>
      </w:r>
      <w:r>
        <w:rPr>
          <w:rStyle w:val="875"/>
          <w:b w:val="false"/>
          <w:sz w:val="28"/>
          <w:szCs w:val="28"/>
        </w:rPr>
        <w:t xml:space="preserve">Менського міського голови </w:t>
      </w:r>
      <w:r>
        <w:rPr>
          <w:sz w:val="28"/>
          <w:szCs w:val="28"/>
        </w:rPr>
        <w:t xml:space="preserve">на підставі заяви особи з позитивною резолюцією </w:t>
      </w:r>
      <w:r>
        <w:rPr>
          <w:rStyle w:val="875"/>
          <w:b w:val="false"/>
          <w:sz w:val="28"/>
          <w:szCs w:val="28"/>
        </w:rPr>
        <w:t xml:space="preserve">Менського міського голови.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 розпорядженні </w:t>
      </w:r>
      <w:r>
        <w:rPr>
          <w:rStyle w:val="875"/>
          <w:b w:val="false"/>
          <w:sz w:val="28"/>
          <w:szCs w:val="28"/>
        </w:rPr>
        <w:t xml:space="preserve">Менського міського голови </w:t>
      </w:r>
      <w:r>
        <w:rPr>
          <w:sz w:val="28"/>
          <w:szCs w:val="28"/>
        </w:rPr>
        <w:t xml:space="preserve">про призначення радника має бути визначена сфера його повноважень.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Радники призначаються із числа досвідчених осіб, які своєю професійною або громадською діяльністю заслужили авторитет та суспільне визнання, досягли професійних успіхів у відповідній сфері діяльності</w:t>
      </w:r>
      <w:r>
        <w:rPr>
          <w:sz w:val="28"/>
          <w:szCs w:val="28"/>
        </w:rPr>
        <w:t xml:space="preserve">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Радники</w:t>
      </w:r>
      <w:r>
        <w:rPr>
          <w:sz w:val="28"/>
          <w:szCs w:val="28"/>
        </w:rPr>
        <w:t xml:space="preserve"> безпосередньо підпорядковуються </w:t>
      </w:r>
      <w:r>
        <w:rPr>
          <w:sz w:val="28"/>
          <w:szCs w:val="28"/>
        </w:rPr>
        <w:t xml:space="preserve">Менському міському голові.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Радниками можуть призначатися учені, провідні фахівці різних галузей та сфер, представники громадських об’єднань, підприємств, установ та організацій незалежно від форм власності, громадяни України та іноземці.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3. Повноваження радника можуть бути припинені:</w:t>
      </w:r>
      <w:r>
        <w:rPr>
          <w:sz w:val="28"/>
          <w:szCs w:val="28"/>
        </w:rPr>
        <w:t xml:space="preserve"> </w:t>
      </w:r>
      <w:r/>
    </w:p>
    <w:p>
      <w:pPr>
        <w:pStyle w:val="874"/>
        <w:numPr>
          <w:ilvl w:val="0"/>
          <w:numId w:val="1"/>
        </w:numPr>
        <w:ind w:left="567" w:right="0" w:hanging="425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за власним бажанням</w:t>
      </w:r>
      <w:r>
        <w:rPr>
          <w:sz w:val="28"/>
          <w:szCs w:val="28"/>
        </w:rPr>
        <w:t xml:space="preserve">, у разі його відмови від виконання своїх обов’язків;</w:t>
      </w:r>
      <w:r/>
    </w:p>
    <w:p>
      <w:pPr>
        <w:pStyle w:val="874"/>
        <w:numPr>
          <w:ilvl w:val="0"/>
          <w:numId w:val="1"/>
        </w:numPr>
        <w:ind w:left="567" w:right="0" w:hanging="425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за рішенням</w:t>
      </w:r>
      <w:r>
        <w:rPr>
          <w:rStyle w:val="875"/>
          <w:b w:val="false"/>
          <w:sz w:val="28"/>
          <w:szCs w:val="28"/>
        </w:rPr>
        <w:t xml:space="preserve"> Менського міського голови</w:t>
      </w:r>
      <w:r>
        <w:rPr>
          <w:sz w:val="28"/>
          <w:szCs w:val="28"/>
        </w:rPr>
        <w:t xml:space="preserve">;</w:t>
      </w:r>
      <w:r/>
    </w:p>
    <w:p>
      <w:pPr>
        <w:pStyle w:val="874"/>
        <w:numPr>
          <w:ilvl w:val="0"/>
          <w:numId w:val="1"/>
        </w:numPr>
        <w:ind w:left="567" w:right="0" w:hanging="425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 разі закінчення строку повноважень </w:t>
      </w:r>
      <w:r>
        <w:rPr>
          <w:rStyle w:val="875"/>
          <w:b w:val="false"/>
          <w:sz w:val="28"/>
          <w:szCs w:val="28"/>
        </w:rPr>
        <w:t xml:space="preserve">Менського міського голови.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Робота на посаді радника здійснюється на громадських засадах, не є службою в органах місцевого самоврядування, не зараховується до загального і спеціального стажу роботи та не оплачується.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Радники можуть мати інше місце роботи, у тому числі на постійній, а також оплатній основі тощо.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Облік осіб, які займають посади радників, </w:t>
      </w:r>
      <w:r>
        <w:rPr>
          <w:sz w:val="28"/>
          <w:szCs w:val="28"/>
        </w:rPr>
        <w:t xml:space="preserve">а також ведення їх особових справ </w:t>
      </w:r>
      <w:r>
        <w:rPr>
          <w:sz w:val="28"/>
          <w:szCs w:val="28"/>
        </w:rPr>
        <w:t xml:space="preserve">здійснює </w:t>
      </w:r>
      <w:r>
        <w:rPr>
          <w:sz w:val="28"/>
          <w:szCs w:val="28"/>
        </w:rPr>
        <w:t xml:space="preserve">сектор кадрової</w:t>
      </w:r>
      <w:r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Менської міської ради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Особова справа повинна містити заяву про згоду на роботу радником, особовий листок, фото, копію паспорта, копію документів про освіту і розписку про ознайомлення з цим Положенням.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На підставі розпорядження </w:t>
      </w:r>
      <w:r>
        <w:rPr>
          <w:rStyle w:val="875"/>
          <w:b w:val="false"/>
          <w:sz w:val="28"/>
          <w:szCs w:val="28"/>
        </w:rPr>
        <w:t xml:space="preserve">Менського міського голови </w:t>
      </w:r>
      <w:r>
        <w:rPr>
          <w:sz w:val="28"/>
          <w:szCs w:val="28"/>
        </w:rPr>
        <w:t xml:space="preserve">про призначення радник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 установленому порядку видається посвідчення встановленого зразка.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При увільненні від виконання обов’язків радника його посвідчення вважається недійсним і підлягає поверненню </w:t>
      </w:r>
      <w:r>
        <w:rPr>
          <w:sz w:val="28"/>
          <w:szCs w:val="28"/>
        </w:rPr>
        <w:t xml:space="preserve">до міської ради.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4"/>
        <w:jc w:val="center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II. Повноваження, права та обов’язки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Радники у своїй діяльності керуються Конституцією та законами України, актами Президента України, Кабінету Міністрів України, рішеннями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ради, розпорядженнями </w:t>
      </w:r>
      <w:r>
        <w:rPr>
          <w:sz w:val="28"/>
          <w:szCs w:val="28"/>
        </w:rPr>
        <w:t xml:space="preserve">Менського </w:t>
      </w:r>
      <w:r>
        <w:rPr>
          <w:sz w:val="28"/>
          <w:szCs w:val="28"/>
        </w:rPr>
        <w:t xml:space="preserve">міського голови</w:t>
      </w:r>
      <w:r>
        <w:rPr>
          <w:sz w:val="28"/>
          <w:szCs w:val="28"/>
        </w:rPr>
        <w:t xml:space="preserve">, іншими нормативно-правовими актами та цим Положенням.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Діяльність радників ґрунтується на принципах законності, гласності, відкритості та прозорості, професіоналізму, пріоритетності прав і законних інтересів громадян.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Завданням радників є сприяння </w:t>
      </w:r>
      <w:r>
        <w:rPr>
          <w:rStyle w:val="875"/>
          <w:b w:val="false"/>
          <w:sz w:val="28"/>
          <w:szCs w:val="28"/>
        </w:rPr>
        <w:t xml:space="preserve">Менському міському голові </w:t>
      </w:r>
      <w:r>
        <w:rPr>
          <w:sz w:val="28"/>
          <w:szCs w:val="28"/>
        </w:rPr>
        <w:t xml:space="preserve">у здійсненні його повноважень.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 Відповідно до покладених завдань, радники: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10.1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Аналізують політичні, соціально-економічні, правові та інші суспільні процес</w:t>
      </w:r>
      <w:r>
        <w:rPr>
          <w:sz w:val="28"/>
          <w:szCs w:val="28"/>
        </w:rPr>
        <w:t xml:space="preserve">и, що відбуваються в Менській міській територіальній громаді</w:t>
      </w:r>
      <w:r>
        <w:rPr>
          <w:sz w:val="28"/>
          <w:szCs w:val="28"/>
        </w:rPr>
        <w:t xml:space="preserve">, та за результатами вносять пропозиції </w:t>
      </w:r>
      <w:r>
        <w:rPr>
          <w:rStyle w:val="875"/>
          <w:b w:val="false"/>
          <w:sz w:val="28"/>
          <w:szCs w:val="28"/>
        </w:rPr>
        <w:t xml:space="preserve">Менському міському голові.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10.2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Здійснюють моніторинг інформаційного простору та вносять пропозиції щодо вдосконалення механізмів реалізації Закону України «Про доступ до публічної інформації».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10.3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Здійснюють аналіз нормативно-правових актів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ради, подають пропозиції щодо їх вдосконалення.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10.4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За дорученням </w:t>
      </w:r>
      <w:r>
        <w:rPr>
          <w:rStyle w:val="875"/>
          <w:b w:val="false"/>
          <w:sz w:val="28"/>
          <w:szCs w:val="28"/>
        </w:rPr>
        <w:t xml:space="preserve">Менського міського голови </w:t>
      </w:r>
      <w:r>
        <w:rPr>
          <w:rStyle w:val="875"/>
          <w:b w:val="false"/>
          <w:sz w:val="28"/>
          <w:szCs w:val="28"/>
        </w:rPr>
        <w:t xml:space="preserve">беруть участь у засіда</w:t>
      </w:r>
      <w:r>
        <w:rPr>
          <w:rStyle w:val="875"/>
          <w:b w:val="false"/>
          <w:sz w:val="28"/>
          <w:szCs w:val="28"/>
        </w:rPr>
        <w:t xml:space="preserve">ннях постійних комісій Менської</w:t>
      </w:r>
      <w:r>
        <w:rPr>
          <w:rStyle w:val="875"/>
          <w:b w:val="false"/>
          <w:sz w:val="28"/>
          <w:szCs w:val="28"/>
        </w:rPr>
        <w:t xml:space="preserve"> міської ради.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еруть участь у розробці або експертизі проектів окремих міських програм та документів</w:t>
      </w:r>
      <w:r>
        <w:rPr>
          <w:sz w:val="28"/>
          <w:szCs w:val="28"/>
        </w:rPr>
        <w:t xml:space="preserve">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10.6</w:t>
      </w:r>
      <w:r>
        <w:rPr>
          <w:sz w:val="28"/>
          <w:szCs w:val="28"/>
        </w:rPr>
        <w:t xml:space="preserve">. Опрацьовують пропозиції щодо вдосконалення механізмів взаємодії </w:t>
      </w:r>
      <w:r>
        <w:rPr>
          <w:rStyle w:val="875"/>
          <w:b w:val="false"/>
          <w:sz w:val="28"/>
          <w:szCs w:val="28"/>
        </w:rPr>
        <w:t xml:space="preserve">Менського міського голови </w:t>
      </w:r>
      <w:r>
        <w:rPr>
          <w:rStyle w:val="875"/>
          <w:b w:val="false"/>
          <w:sz w:val="28"/>
          <w:szCs w:val="28"/>
        </w:rPr>
        <w:t xml:space="preserve">із мешканцями </w:t>
      </w:r>
      <w:r>
        <w:rPr>
          <w:rStyle w:val="875"/>
          <w:b w:val="false"/>
          <w:sz w:val="28"/>
          <w:szCs w:val="28"/>
        </w:rPr>
        <w:t xml:space="preserve">Менської міської </w:t>
      </w:r>
      <w:r>
        <w:rPr>
          <w:rStyle w:val="875"/>
          <w:b w:val="false"/>
          <w:sz w:val="28"/>
          <w:szCs w:val="28"/>
        </w:rPr>
        <w:t xml:space="preserve">територіальної громади, органами самоорганізації населення, громадськими організаціями тощо.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10.7</w:t>
      </w:r>
      <w:r>
        <w:rPr>
          <w:sz w:val="28"/>
          <w:szCs w:val="28"/>
        </w:rPr>
        <w:t xml:space="preserve">. Готують необхідні інформаційно-аналітичні записки, огляди, звіти, проекти доповідей, доповідних записок, матеріали до прес-конференцій, виступів, доповідей, зустрічей та робочих поїздок</w:t>
      </w:r>
      <w:r>
        <w:rPr>
          <w:rStyle w:val="875"/>
          <w:b w:val="false"/>
          <w:sz w:val="28"/>
          <w:szCs w:val="28"/>
        </w:rPr>
        <w:t xml:space="preserve"> Менського міського голови</w:t>
      </w:r>
      <w:r>
        <w:rPr>
          <w:sz w:val="28"/>
          <w:szCs w:val="28"/>
        </w:rPr>
        <w:t xml:space="preserve">, долучаються до організації та проведення семінарів, конференцій, круглих столів.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10.8</w:t>
      </w:r>
      <w:r>
        <w:rPr>
          <w:sz w:val="28"/>
          <w:szCs w:val="28"/>
        </w:rPr>
        <w:t xml:space="preserve">. Готують пропозиції з проведення заходів за участі </w:t>
      </w:r>
      <w:r>
        <w:rPr>
          <w:rStyle w:val="875"/>
          <w:b w:val="false"/>
          <w:sz w:val="28"/>
          <w:szCs w:val="28"/>
        </w:rPr>
        <w:t xml:space="preserve">Менського міського голови.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rStyle w:val="875"/>
          <w:b w:val="false"/>
          <w:sz w:val="28"/>
          <w:szCs w:val="28"/>
        </w:rPr>
        <w:t xml:space="preserve">10.9</w:t>
      </w:r>
      <w:r>
        <w:rPr>
          <w:rStyle w:val="875"/>
          <w:b w:val="false"/>
          <w:sz w:val="28"/>
          <w:szCs w:val="28"/>
        </w:rPr>
        <w:t xml:space="preserve">. Співпрацюють з науковими установами, </w:t>
      </w:r>
      <w:r>
        <w:rPr>
          <w:rStyle w:val="875"/>
          <w:b w:val="false"/>
          <w:sz w:val="28"/>
          <w:szCs w:val="28"/>
        </w:rPr>
        <w:t xml:space="preserve">ц</w:t>
      </w:r>
      <w:r>
        <w:rPr>
          <w:rStyle w:val="875"/>
          <w:b w:val="false"/>
          <w:sz w:val="28"/>
          <w:szCs w:val="28"/>
        </w:rPr>
        <w:t xml:space="preserve">ентрами, громадськими організаціями з питань, що належать до їх компетенції.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tabs>
          <w:tab w:val="left" w:pos="910" w:leader="none"/>
        </w:tabs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10.10</w:t>
      </w:r>
      <w:r>
        <w:rPr>
          <w:sz w:val="28"/>
          <w:szCs w:val="28"/>
        </w:rPr>
        <w:t xml:space="preserve">. Виконують інші доручення </w:t>
      </w:r>
      <w:r>
        <w:rPr>
          <w:rStyle w:val="875"/>
          <w:b w:val="false"/>
          <w:sz w:val="28"/>
          <w:szCs w:val="28"/>
        </w:rPr>
        <w:t xml:space="preserve">Менського міського голови.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Для виконання покладених на них завдань радники мають право: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11.1. Невідкладного прийому </w:t>
      </w:r>
      <w:r>
        <w:rPr>
          <w:rStyle w:val="875"/>
          <w:b w:val="false"/>
          <w:sz w:val="28"/>
          <w:szCs w:val="28"/>
        </w:rPr>
        <w:t xml:space="preserve">Менським міським головою.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rStyle w:val="875"/>
          <w:b w:val="false"/>
          <w:sz w:val="28"/>
          <w:szCs w:val="28"/>
        </w:rPr>
        <w:t xml:space="preserve">11.2. В установленому порядку бути присутнім на </w:t>
      </w:r>
      <w:r>
        <w:rPr>
          <w:rStyle w:val="875"/>
          <w:b w:val="false"/>
          <w:sz w:val="28"/>
          <w:szCs w:val="28"/>
        </w:rPr>
        <w:t xml:space="preserve">пленарних засіданнях Менської </w:t>
      </w:r>
      <w:r>
        <w:rPr>
          <w:rStyle w:val="875"/>
          <w:b w:val="false"/>
          <w:sz w:val="28"/>
          <w:szCs w:val="28"/>
        </w:rPr>
        <w:t xml:space="preserve">міської р</w:t>
      </w:r>
      <w:r>
        <w:rPr>
          <w:rStyle w:val="875"/>
          <w:b w:val="false"/>
          <w:sz w:val="28"/>
          <w:szCs w:val="28"/>
        </w:rPr>
        <w:t xml:space="preserve">ади, постійних комісій Менської</w:t>
      </w:r>
      <w:r>
        <w:rPr>
          <w:rStyle w:val="875"/>
          <w:b w:val="false"/>
          <w:sz w:val="28"/>
          <w:szCs w:val="28"/>
        </w:rPr>
        <w:t xml:space="preserve"> міської ради.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rStyle w:val="875"/>
          <w:b w:val="false"/>
          <w:sz w:val="28"/>
          <w:szCs w:val="28"/>
        </w:rPr>
        <w:t xml:space="preserve">11.3. За дорученням </w:t>
      </w:r>
      <w:r>
        <w:rPr>
          <w:rStyle w:val="875"/>
          <w:b w:val="false"/>
          <w:sz w:val="28"/>
          <w:szCs w:val="28"/>
        </w:rPr>
        <w:t xml:space="preserve">Менського міського голови </w:t>
      </w:r>
      <w:r>
        <w:rPr>
          <w:rStyle w:val="875"/>
          <w:b w:val="false"/>
          <w:sz w:val="28"/>
          <w:szCs w:val="28"/>
        </w:rPr>
        <w:t xml:space="preserve">брати участь у нарадах, що </w:t>
      </w:r>
      <w:r>
        <w:rPr>
          <w:rStyle w:val="875"/>
          <w:b w:val="false"/>
          <w:sz w:val="28"/>
          <w:szCs w:val="28"/>
        </w:rPr>
        <w:t xml:space="preserve">проводяться Менським міським головою, </w:t>
      </w:r>
      <w:r>
        <w:rPr>
          <w:rStyle w:val="875"/>
          <w:b w:val="false"/>
          <w:sz w:val="28"/>
          <w:szCs w:val="28"/>
        </w:rPr>
        <w:t xml:space="preserve">виступати з питань, що обговорюються.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11.4. Запитувати та одержувати в установленому порядку інформацію, документи та матеріали від місцевих органів виконавчої влади, органів місцевого самоврядування, підприємств, установ, організацій та посадових осіб</w:t>
      </w:r>
      <w:r>
        <w:rPr>
          <w:sz w:val="28"/>
          <w:szCs w:val="28"/>
        </w:rPr>
        <w:t xml:space="preserve">, необхідних для виконання їх повноважень.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11.5. Ініціювати пі</w:t>
      </w:r>
      <w:r>
        <w:rPr>
          <w:sz w:val="28"/>
          <w:szCs w:val="28"/>
        </w:rPr>
        <w:t xml:space="preserve">дготовку проектів розпоряджень Менського міського голови.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заємодіяти з відповідними структурними підрозділами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</w:t>
      </w:r>
      <w:r>
        <w:rPr>
          <w:sz w:val="28"/>
          <w:szCs w:val="28"/>
        </w:rPr>
        <w:t xml:space="preserve"> та їх посадовими особами з напряму (напрямів)</w:t>
      </w:r>
      <w:r>
        <w:rPr>
          <w:sz w:val="28"/>
          <w:szCs w:val="28"/>
        </w:rPr>
        <w:t xml:space="preserve"> своєї діяльності</w:t>
      </w:r>
      <w:r>
        <w:rPr>
          <w:sz w:val="28"/>
          <w:szCs w:val="28"/>
        </w:rPr>
        <w:t xml:space="preserve">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ористуватися приміщеннями, зв’язком, оргтехнікою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Радники зобов’язані: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ідповідально</w:t>
      </w:r>
      <w:r>
        <w:rPr>
          <w:sz w:val="28"/>
          <w:szCs w:val="28"/>
        </w:rPr>
        <w:t xml:space="preserve"> ставитися до виконання покладених на них завдань і функцій, визначених цим Положенням</w:t>
      </w:r>
      <w:r>
        <w:rPr>
          <w:sz w:val="28"/>
          <w:szCs w:val="28"/>
        </w:rPr>
        <w:t xml:space="preserve">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воєчасно і сумлінно виконувати доручення </w:t>
      </w:r>
      <w:r>
        <w:rPr>
          <w:rStyle w:val="875"/>
          <w:b w:val="false"/>
          <w:sz w:val="28"/>
          <w:szCs w:val="28"/>
        </w:rPr>
        <w:t xml:space="preserve">Менського міського голови.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отримуватися високої культури спілкування, шанобливо ставитися до </w:t>
      </w:r>
      <w:r>
        <w:rPr>
          <w:sz w:val="28"/>
          <w:szCs w:val="28"/>
        </w:rPr>
        <w:t xml:space="preserve">депутатів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міської ради, </w:t>
      </w:r>
      <w:r>
        <w:rPr>
          <w:sz w:val="28"/>
          <w:szCs w:val="28"/>
        </w:rPr>
        <w:t xml:space="preserve">посадових та службових осіб </w:t>
      </w:r>
      <w:r>
        <w:rPr>
          <w:sz w:val="28"/>
          <w:szCs w:val="28"/>
        </w:rPr>
        <w:t xml:space="preserve">апарату Менської </w:t>
      </w:r>
      <w:r>
        <w:rPr>
          <w:sz w:val="28"/>
          <w:szCs w:val="28"/>
        </w:rPr>
        <w:t xml:space="preserve">міської ради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її виконавчих органів,</w:t>
      </w:r>
      <w:r>
        <w:rPr>
          <w:sz w:val="28"/>
          <w:szCs w:val="28"/>
        </w:rPr>
        <w:t xml:space="preserve"> інших представників органів державної влади та органів місцевого самоврядування, громадян</w:t>
      </w:r>
      <w:r>
        <w:rPr>
          <w:sz w:val="28"/>
          <w:szCs w:val="28"/>
        </w:rPr>
        <w:t xml:space="preserve">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rStyle w:val="875"/>
          <w:b w:val="false"/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допускати дій і вчинків, які можуть негативно вплинути або нанести шкоду авторитету </w:t>
      </w:r>
      <w:r>
        <w:rPr>
          <w:rStyle w:val="875"/>
          <w:b w:val="false"/>
          <w:sz w:val="28"/>
          <w:szCs w:val="28"/>
        </w:rPr>
        <w:t xml:space="preserve">Менського міського голови.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допускати розголошення інформації, що стала їм відома у зв’язку з виконанням ними завдань та функцій, визначених цим Положенням.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Радники можуть працювати індивідуально або колективно.</w:t>
      </w:r>
      <w:r/>
    </w:p>
    <w:p>
      <w:pPr>
        <w:pStyle w:val="874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rStyle w:val="875"/>
          <w:b w:val="false"/>
          <w:sz w:val="28"/>
          <w:szCs w:val="28"/>
        </w:rPr>
        <w:t xml:space="preserve">Менський міський голова </w:t>
      </w:r>
      <w:r>
        <w:rPr>
          <w:sz w:val="28"/>
          <w:szCs w:val="28"/>
        </w:rPr>
        <w:t xml:space="preserve">на свій розсуд визнача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режим та графік роботи радників.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0"/>
    <w:next w:val="870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5">
    <w:name w:val="Heading 1 Char"/>
    <w:basedOn w:val="871"/>
    <w:link w:val="694"/>
    <w:uiPriority w:val="9"/>
    <w:rPr>
      <w:rFonts w:ascii="Arial" w:hAnsi="Arial" w:cs="Arial" w:eastAsia="Arial"/>
      <w:sz w:val="40"/>
      <w:szCs w:val="40"/>
    </w:rPr>
  </w:style>
  <w:style w:type="paragraph" w:styleId="696">
    <w:name w:val="Heading 2"/>
    <w:basedOn w:val="870"/>
    <w:next w:val="870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7">
    <w:name w:val="Heading 2 Char"/>
    <w:basedOn w:val="871"/>
    <w:link w:val="696"/>
    <w:uiPriority w:val="9"/>
    <w:rPr>
      <w:rFonts w:ascii="Arial" w:hAnsi="Arial" w:cs="Arial" w:eastAsia="Arial"/>
      <w:sz w:val="34"/>
    </w:rPr>
  </w:style>
  <w:style w:type="paragraph" w:styleId="698">
    <w:name w:val="Heading 3"/>
    <w:basedOn w:val="870"/>
    <w:next w:val="870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9">
    <w:name w:val="Heading 3 Char"/>
    <w:basedOn w:val="871"/>
    <w:link w:val="698"/>
    <w:uiPriority w:val="9"/>
    <w:rPr>
      <w:rFonts w:ascii="Arial" w:hAnsi="Arial" w:cs="Arial" w:eastAsia="Arial"/>
      <w:sz w:val="30"/>
      <w:szCs w:val="30"/>
    </w:rPr>
  </w:style>
  <w:style w:type="paragraph" w:styleId="700">
    <w:name w:val="Heading 4"/>
    <w:basedOn w:val="870"/>
    <w:next w:val="870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1">
    <w:name w:val="Heading 4 Char"/>
    <w:basedOn w:val="871"/>
    <w:link w:val="700"/>
    <w:uiPriority w:val="9"/>
    <w:rPr>
      <w:rFonts w:ascii="Arial" w:hAnsi="Arial" w:cs="Arial" w:eastAsia="Arial"/>
      <w:b/>
      <w:bCs/>
      <w:sz w:val="26"/>
      <w:szCs w:val="26"/>
    </w:rPr>
  </w:style>
  <w:style w:type="paragraph" w:styleId="702">
    <w:name w:val="Heading 5"/>
    <w:basedOn w:val="870"/>
    <w:next w:val="870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3">
    <w:name w:val="Heading 5 Char"/>
    <w:basedOn w:val="871"/>
    <w:link w:val="702"/>
    <w:uiPriority w:val="9"/>
    <w:rPr>
      <w:rFonts w:ascii="Arial" w:hAnsi="Arial" w:cs="Arial" w:eastAsia="Arial"/>
      <w:b/>
      <w:bCs/>
      <w:sz w:val="24"/>
      <w:szCs w:val="24"/>
    </w:rPr>
  </w:style>
  <w:style w:type="paragraph" w:styleId="704">
    <w:name w:val="Heading 6"/>
    <w:basedOn w:val="870"/>
    <w:next w:val="870"/>
    <w:link w:val="7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5">
    <w:name w:val="Heading 6 Char"/>
    <w:basedOn w:val="871"/>
    <w:link w:val="704"/>
    <w:uiPriority w:val="9"/>
    <w:rPr>
      <w:rFonts w:ascii="Arial" w:hAnsi="Arial" w:cs="Arial" w:eastAsia="Arial"/>
      <w:b/>
      <w:bCs/>
      <w:sz w:val="22"/>
      <w:szCs w:val="22"/>
    </w:rPr>
  </w:style>
  <w:style w:type="paragraph" w:styleId="706">
    <w:name w:val="Heading 7"/>
    <w:basedOn w:val="870"/>
    <w:next w:val="870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7">
    <w:name w:val="Heading 7 Char"/>
    <w:basedOn w:val="871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8">
    <w:name w:val="Heading 8"/>
    <w:basedOn w:val="870"/>
    <w:next w:val="870"/>
    <w:link w:val="7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9">
    <w:name w:val="Heading 8 Char"/>
    <w:basedOn w:val="871"/>
    <w:link w:val="708"/>
    <w:uiPriority w:val="9"/>
    <w:rPr>
      <w:rFonts w:ascii="Arial" w:hAnsi="Arial" w:cs="Arial" w:eastAsia="Arial"/>
      <w:i/>
      <w:iCs/>
      <w:sz w:val="22"/>
      <w:szCs w:val="22"/>
    </w:rPr>
  </w:style>
  <w:style w:type="paragraph" w:styleId="710">
    <w:name w:val="Heading 9"/>
    <w:basedOn w:val="870"/>
    <w:next w:val="870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>
    <w:name w:val="Heading 9 Char"/>
    <w:basedOn w:val="87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List Paragraph"/>
    <w:basedOn w:val="870"/>
    <w:qFormat/>
    <w:uiPriority w:val="34"/>
    <w:pPr>
      <w:contextualSpacing w:val="true"/>
      <w:ind w:left="720"/>
    </w:pPr>
  </w:style>
  <w:style w:type="paragraph" w:styleId="713">
    <w:name w:val="No Spacing"/>
    <w:qFormat/>
    <w:uiPriority w:val="1"/>
    <w:pPr>
      <w:spacing w:lineRule="auto" w:line="240" w:after="0" w:before="0"/>
    </w:pPr>
  </w:style>
  <w:style w:type="paragraph" w:styleId="714">
    <w:name w:val="Title"/>
    <w:basedOn w:val="870"/>
    <w:next w:val="870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>
    <w:name w:val="Title Char"/>
    <w:basedOn w:val="871"/>
    <w:link w:val="714"/>
    <w:uiPriority w:val="10"/>
    <w:rPr>
      <w:sz w:val="48"/>
      <w:szCs w:val="48"/>
    </w:rPr>
  </w:style>
  <w:style w:type="paragraph" w:styleId="716">
    <w:name w:val="Subtitle"/>
    <w:basedOn w:val="870"/>
    <w:next w:val="870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>
    <w:name w:val="Subtitle Char"/>
    <w:basedOn w:val="871"/>
    <w:link w:val="716"/>
    <w:uiPriority w:val="11"/>
    <w:rPr>
      <w:sz w:val="24"/>
      <w:szCs w:val="24"/>
    </w:rPr>
  </w:style>
  <w:style w:type="paragraph" w:styleId="718">
    <w:name w:val="Quote"/>
    <w:basedOn w:val="870"/>
    <w:next w:val="870"/>
    <w:link w:val="719"/>
    <w:qFormat/>
    <w:uiPriority w:val="29"/>
    <w:rPr>
      <w:i/>
    </w:rPr>
    <w:pPr>
      <w:ind w:left="720" w:right="720"/>
    </w:p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0"/>
    <w:next w:val="870"/>
    <w:link w:val="72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71"/>
    <w:link w:val="876"/>
    <w:uiPriority w:val="99"/>
  </w:style>
  <w:style w:type="character" w:styleId="723">
    <w:name w:val="Footer Char"/>
    <w:basedOn w:val="871"/>
    <w:link w:val="878"/>
    <w:uiPriority w:val="99"/>
  </w:style>
  <w:style w:type="paragraph" w:styleId="724">
    <w:name w:val="Caption"/>
    <w:basedOn w:val="870"/>
    <w:next w:val="8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78"/>
    <w:uiPriority w:val="99"/>
  </w:style>
  <w:style w:type="table" w:styleId="726">
    <w:name w:val="Table Grid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8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 &amp; Lined - Accent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9">
    <w:name w:val="Bordered &amp; Lined - Accent 1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0">
    <w:name w:val="Bordered &amp; Lined - Accent 2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1">
    <w:name w:val="Bordered &amp; Lined - Accent 3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2">
    <w:name w:val="Bordered &amp; Lined - Accent 4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3">
    <w:name w:val="Bordered &amp; Lined - Accent 5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4">
    <w:name w:val="Bordered &amp; Lined - Accent 6"/>
    <w:basedOn w:val="8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5">
    <w:name w:val="Bordered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8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paragraph" w:styleId="874">
    <w:name w:val="Normal (Web)"/>
    <w:basedOn w:val="870"/>
    <w:uiPriority w:val="99"/>
    <w:unhideWhenUsed/>
    <w:rPr>
      <w:rFonts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5">
    <w:name w:val="Strong"/>
    <w:basedOn w:val="871"/>
    <w:qFormat/>
    <w:uiPriority w:val="22"/>
    <w:rPr>
      <w:b/>
      <w:bCs/>
    </w:rPr>
  </w:style>
  <w:style w:type="paragraph" w:styleId="876">
    <w:name w:val="Header"/>
    <w:basedOn w:val="870"/>
    <w:link w:val="87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7" w:customStyle="1">
    <w:name w:val="Верхній колонтитул Знак"/>
    <w:basedOn w:val="871"/>
    <w:link w:val="876"/>
    <w:uiPriority w:val="99"/>
  </w:style>
  <w:style w:type="paragraph" w:styleId="878">
    <w:name w:val="Footer"/>
    <w:basedOn w:val="870"/>
    <w:link w:val="8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9" w:customStyle="1">
    <w:name w:val="Нижній колонтитул Знак"/>
    <w:basedOn w:val="871"/>
    <w:link w:val="878"/>
    <w:uiPriority w:val="99"/>
  </w:style>
  <w:style w:type="character" w:styleId="880">
    <w:name w:val="line number"/>
    <w:basedOn w:val="871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157D29D-0326-42EC-A972-7DF60438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 Svitlana</dc:creator>
  <cp:keywords/>
  <dc:description/>
  <cp:lastModifiedBy>СТАЛЬНИЧЕНКО Юрій Валерійович</cp:lastModifiedBy>
  <cp:revision>11</cp:revision>
  <dcterms:created xsi:type="dcterms:W3CDTF">2023-10-02T12:36:00Z</dcterms:created>
  <dcterms:modified xsi:type="dcterms:W3CDTF">2023-10-03T14:30:11Z</dcterms:modified>
</cp:coreProperties>
</file>