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Додаток  </w:t>
      </w:r>
      <w:r>
        <w:rPr>
          <w:lang w:val="uk-UA"/>
        </w:rPr>
      </w:r>
      <w:r/>
    </w:p>
    <w:p>
      <w:pPr>
        <w:ind w:left="566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до рішення </w:t>
      </w:r>
      <w:r>
        <w:rPr>
          <w:color w:val="000000"/>
          <w:sz w:val="28"/>
          <w:lang w:val="uk-UA"/>
        </w:rPr>
        <w:t xml:space="preserve">39</w:t>
      </w:r>
      <w:r>
        <w:rPr>
          <w:color w:val="000000"/>
          <w:sz w:val="28"/>
          <w:lang w:val="uk-UA"/>
        </w:rPr>
        <w:t xml:space="preserve"> сесії Менської міської ради 8 скликання </w:t>
      </w:r>
      <w:r>
        <w:rPr>
          <w:lang w:val="uk-UA"/>
        </w:rPr>
      </w:r>
      <w:r/>
    </w:p>
    <w:p>
      <w:pPr>
        <w:ind w:left="566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25 вересня</w:t>
      </w:r>
      <w:r>
        <w:rPr>
          <w:color w:val="000000"/>
          <w:sz w:val="28"/>
          <w:lang w:val="uk-UA"/>
        </w:rPr>
        <w:t xml:space="preserve"> 202</w:t>
      </w:r>
      <w:r>
        <w:rPr>
          <w:color w:val="000000"/>
          <w:sz w:val="28"/>
          <w:lang w:val="uk-UA"/>
        </w:rPr>
        <w:t xml:space="preserve">3</w:t>
      </w:r>
      <w:r>
        <w:rPr>
          <w:color w:val="000000"/>
          <w:sz w:val="28"/>
          <w:lang w:val="uk-UA"/>
        </w:rPr>
        <w:t xml:space="preserve"> року № 551</w:t>
      </w:r>
      <w:r>
        <w:rPr>
          <w:lang w:val="uk-UA"/>
        </w:rPr>
      </w:r>
      <w:r/>
    </w:p>
    <w:p>
      <w:pPr>
        <w:ind w:left="5244"/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36"/>
          <w:szCs w:val="36"/>
          <w:lang w:val="uk-UA"/>
        </w:rPr>
        <w:t xml:space="preserve">ПРОГРАМА</w:t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розвитку цивільного захисту Менської міської територіальної громади на 2022-2024 роки</w:t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9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lang w:val="uk-UA"/>
        </w:rPr>
      </w:r>
      <w:r/>
    </w:p>
    <w:tbl>
      <w:tblPr>
        <w:tblW w:w="1031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7903"/>
        <w:gridCol w:w="992"/>
      </w:tblGrid>
      <w:tr>
        <w:trPr>
          <w:trHeight w:val="440"/>
        </w:trPr>
        <w:tc>
          <w:tcPr>
            <w:tcW w:w="850" w:type="dxa"/>
            <w:textDirection w:val="lrTb"/>
            <w:noWrap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розділу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Стор.</w:t>
            </w:r>
            <w:r>
              <w:rPr>
                <w:lang w:val="uk-UA"/>
              </w:rPr>
            </w:r>
            <w:r/>
          </w:p>
        </w:tc>
      </w:tr>
      <w:tr>
        <w:trPr>
          <w:trHeight w:val="36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rPr>
                <w:rFonts w:ascii="timesnewromanpsmt" w:hAnsi="timesnewromanpsmt"/>
                <w:sz w:val="30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Паспорт Програми </w:t>
            </w:r>
            <w:r>
              <w:rPr>
                <w:sz w:val="28"/>
                <w:lang w:val="uk-UA"/>
              </w:rPr>
              <w:t xml:space="preserve">розвитку цивільного захисту Менської міської територіальної громади на 2022-2024 роки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3-5</w:t>
            </w:r>
            <w:r>
              <w:rPr>
                <w:lang w:val="uk-UA"/>
              </w:rPr>
            </w:r>
            <w:r/>
          </w:p>
        </w:tc>
      </w:tr>
      <w:tr>
        <w:trPr>
          <w:trHeight w:val="26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96"/>
              <w:rPr>
                <w:rFonts w:ascii="Times New Roman" w:hAnsi="Times New Roman"/>
                <w:b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uk-UA"/>
              </w:rPr>
              <w:t xml:space="preserve">Загальна частина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6-7</w:t>
            </w:r>
            <w:r>
              <w:rPr>
                <w:lang w:val="uk-UA"/>
              </w:rPr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  <w:rPr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Мета Програми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8</w:t>
            </w:r>
            <w:r>
              <w:rPr>
                <w:lang w:val="uk-UA"/>
              </w:rPr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реалізації і контролю за виконанням програми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8</w:t>
            </w:r>
            <w:r>
              <w:rPr>
                <w:lang w:val="uk-UA"/>
              </w:rPr>
            </w:r>
            <w:r/>
          </w:p>
        </w:tc>
      </w:tr>
      <w:tr>
        <w:trPr>
          <w:trHeight w:val="24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pStyle w:val="967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забезпечення програми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8</w:t>
            </w:r>
            <w:r>
              <w:rPr>
                <w:lang w:val="uk-UA"/>
              </w:rPr>
            </w:r>
            <w:r/>
          </w:p>
        </w:tc>
      </w:tr>
      <w:tr>
        <w:trPr>
          <w:trHeight w:val="20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і контроль за реалізацією Програми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9</w:t>
            </w:r>
            <w:r>
              <w:rPr>
                <w:lang w:val="uk-UA"/>
              </w:rPr>
            </w:r>
            <w:r/>
          </w:p>
        </w:tc>
      </w:tr>
      <w:tr>
        <w:trPr>
          <w:trHeight w:val="420"/>
        </w:trPr>
        <w:tc>
          <w:tcPr>
            <w:tcW w:w="850" w:type="dxa"/>
            <w:textDirection w:val="lrTb"/>
            <w:noWrap/>
          </w:tcPr>
          <w:p>
            <w:pPr>
              <w:pStyle w:val="996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470" w:type="dxa"/>
            <w:vAlign w:val="center"/>
            <w:textDirection w:val="lrTb"/>
            <w:noWrap/>
          </w:tcPr>
          <w:p>
            <w:pPr>
              <w:spacing w:before="12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Очікувані результати </w:t>
            </w:r>
            <w:r>
              <w:rPr>
                <w:color w:val="000000"/>
                <w:sz w:val="28"/>
                <w:lang w:val="uk-UA"/>
              </w:rPr>
              <w:t xml:space="preserve">від реалізації програми</w:t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9-10</w:t>
            </w:r>
            <w:r>
              <w:rPr>
                <w:lang w:val="uk-UA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17" w:type="dxa"/>
            <w:textDirection w:val="lrTb"/>
            <w:noWrap/>
          </w:tcPr>
          <w:p>
            <w:pPr>
              <w:pStyle w:val="996"/>
              <w:jc w:val="both"/>
              <w:spacing w:lineRule="auto" w:line="360"/>
              <w:rPr>
                <w:b w:val="false"/>
                <w:bCs/>
                <w:sz w:val="28"/>
                <w:szCs w:val="28"/>
                <w:lang w:val="uk-UA"/>
              </w:rPr>
            </w:pPr>
            <w:r>
              <w:rPr>
                <w:b w:val="false"/>
                <w:bCs/>
                <w:sz w:val="28"/>
                <w:szCs w:val="28"/>
                <w:lang w:val="uk-UA"/>
              </w:rPr>
              <w:t xml:space="preserve">Додаток: </w:t>
            </w:r>
            <w:r>
              <w:rPr>
                <w:lang w:val="uk-UA"/>
              </w:rPr>
            </w:r>
            <w:r/>
          </w:p>
        </w:tc>
        <w:tc>
          <w:tcPr>
            <w:tcW w:w="7903" w:type="dxa"/>
            <w:textDirection w:val="lrTb"/>
            <w:noWrap/>
          </w:tcPr>
          <w:p>
            <w:pPr>
              <w:pStyle w:val="967"/>
              <w:ind w:right="12"/>
              <w:jc w:val="both"/>
              <w:shd w:val="clear" w:color="FFFFFF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Напрями діяльності та заходи </w:t>
            </w:r>
            <w:r>
              <w:rPr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2022-2024 роки</w:t>
            </w:r>
            <w:r>
              <w:rPr>
                <w:lang w:val="uk-UA"/>
              </w:rPr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ja-JP"/>
              </w:rPr>
            </w:r>
            <w:r>
              <w:rPr>
                <w:lang w:val="uk-UA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6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  <w:lang w:val="uk-UA"/>
              </w:rPr>
              <w:t xml:space="preserve">11-17</w:t>
            </w:r>
            <w:r>
              <w:rPr>
                <w:lang w:val="uk-UA"/>
              </w:rPr>
            </w:r>
            <w:r/>
          </w:p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lang w:val="uk-UA"/>
        </w:rPr>
      </w:r>
      <w:r/>
    </w:p>
    <w:p>
      <w:pPr>
        <w:pStyle w:val="967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</w:t>
      </w:r>
      <w:r>
        <w:rPr>
          <w:lang w:val="uk-UA"/>
        </w:rPr>
      </w:r>
      <w:r/>
    </w:p>
    <w:p>
      <w:pPr>
        <w:pStyle w:val="967"/>
        <w:jc w:val="center"/>
        <w:rPr>
          <w:rFonts w:ascii="timesnewromanpsmt" w:hAnsi="timesnewromanpsmt"/>
          <w:b/>
          <w:sz w:val="30"/>
          <w:szCs w:val="28"/>
          <w:lang w:val="uk-UA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>
        <w:rPr>
          <w:lang w:val="uk-UA"/>
        </w:rPr>
      </w:r>
      <w:r/>
    </w:p>
    <w:p>
      <w:pPr>
        <w:pStyle w:val="967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>
        <w:rPr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59"/>
        <w:gridCol w:w="7462"/>
      </w:tblGrid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міської  територіальної громади на 2022-2024 роки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Цивільного захисту України від 2 жовтня 2012 року №5403-VI;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захист інформації в інформаційно-телекомунікаційних системах» від 05 липня 1994 року №80/94- ВР.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оборону України» від 06.12.1991 р. №1932-12.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правовий режим воєнного стану» від 12.05.2015 р. №389-8.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 від 16.07.2021 р. №1702-9.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Постанови Кабінету Міністрів України: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6 березня 2002 року № 264 «Про затвердження Порядку обліку місць масового відпочинку населення на водних об’єктах»;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29 березня 2006 року №373 «Про затвердження Правил забезпечення захисту інформації в інформаційних, телекомунікаційних та інформаційно-телекомунікаційних системах»;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  <w:r>
              <w:rPr>
                <w:lang w:val="uk-UA"/>
              </w:rPr>
            </w:r>
            <w:r/>
          </w:p>
          <w:p>
            <w:pPr>
              <w:pStyle w:val="967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оборонної роботи, цивільного захисту та роботи з правоохоронними органами населення Менської міської ради, Менська міська рада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  <w:trHeight w:val="2859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Програми є захист населення і територій від наслідків надзвичайних ситуацій техногенного, природного,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соціального та воєнного характеру, ефективне функціонування територіальної підсистеми Єдиної 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ування водними об’єктами, проведення роз’яснювально-пропагандистської роботи серед населення, забезпечення евакуації/вивезення/переміщення цивільного населення із місцевості, де ведуться бойові дії, та небезпечних територій у безпечні місця, зокрема на опл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заходів спрямованих на підтримку цивільного населення в умовах воєнного стану.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2022-2024 роки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13833 тис. гривень, в т.ч. </w:t>
            </w:r>
            <w:r>
              <w:rPr>
                <w:lang w:val="uk-UA"/>
              </w:rPr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2022 рік - 3735 тис. грн.;</w:t>
            </w:r>
            <w:r>
              <w:rPr>
                <w:lang w:val="uk-UA"/>
              </w:rPr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2023 рік - 5391 тис. грн.;</w:t>
            </w:r>
            <w:r>
              <w:rPr>
                <w:lang w:val="uk-UA"/>
              </w:rPr>
            </w:r>
            <w:r/>
          </w:p>
          <w:p>
            <w:pPr>
              <w:pStyle w:val="967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- 4707тис. грн..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3"/>
              </w:numPr>
              <w:ind w:left="0" w:firstLine="0"/>
              <w:jc w:val="both"/>
              <w:tabs>
                <w:tab w:val="left" w:pos="283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sz w:val="28"/>
                <w:szCs w:val="28"/>
                <w:lang w:val="uk-UA"/>
              </w:rPr>
              <w:t xml:space="preserve"> та їх наслідків;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запобігання виникненню пожеж та їх гасіння на об’єктах і території населених пунктів громади;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їх матеріальної та фінансової підтримки;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надання транспортних послуг, пально-мастильним матеріалами, облаштування місць розміщення громадян, які у зв’язку з бойовими діями залишили місце проживання/перебування, та інші заходи спрямовані на підтримку цивільного населення в умовах воєнного стану;</w:t>
            </w:r>
            <w:r>
              <w:rPr>
                <w:lang w:val="uk-UA"/>
              </w:rPr>
            </w:r>
            <w:r/>
          </w:p>
          <w:p>
            <w:pPr>
              <w:pStyle w:val="967"/>
              <w:numPr>
                <w:ilvl w:val="0"/>
                <w:numId w:val="1"/>
              </w:numPr>
              <w:ind w:left="0" w:firstLine="0"/>
              <w:jc w:val="both"/>
              <w:tabs>
                <w:tab w:val="left" w:pos="283" w:leader="none"/>
                <w:tab w:val="clear" w:pos="2220" w:leader="none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організації та функціонування пунктів незламності визначених на території Менської міської територіальної громади.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2359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>
              <w:rPr>
                <w:lang w:val="uk-UA"/>
              </w:rPr>
            </w:r>
            <w:r/>
          </w:p>
        </w:tc>
        <w:tc>
          <w:tcPr>
            <w:tcW w:w="7462" w:type="dxa"/>
            <w:textDirection w:val="lrTb"/>
            <w:noWrap/>
          </w:tcPr>
          <w:p>
            <w:pPr>
              <w:pStyle w:val="9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lang w:val="uk-UA"/>
              </w:rPr>
            </w:r>
            <w:r/>
          </w:p>
        </w:tc>
      </w:tr>
    </w:tbl>
    <w:p>
      <w:pPr>
        <w:pStyle w:val="967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2. ЗАГАЛЬНА ЧАСТИНА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цивільного захисту Менської об’єднаної територіальної громади на 2022-2024 роки(далі – Програма) розроблена на виконання Кодексу цивільного захисту України від 02.10.2012 №5403-VI, Закону Укр</w:t>
      </w:r>
      <w:r>
        <w:rPr>
          <w:sz w:val="28"/>
          <w:szCs w:val="28"/>
          <w:lang w:val="uk-UA"/>
        </w:rPr>
        <w:t xml:space="preserve">аїни «Про захист Інформації в інформаційно-телекомунікаційних системах» від 05.07.1994 №80/94-ВР, Закону України «Про оборону України» від 06.12.1991 р. №1932-12, Закону України «Про правовий режим воєнного стану» від 12.05.2015 р. №389-8, 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16.07.2021 р. №1702-9, </w:t>
      </w:r>
      <w:r>
        <w:rPr>
          <w:sz w:val="28"/>
          <w:szCs w:val="28"/>
          <w:lang w:val="uk-UA"/>
        </w:rPr>
        <w:t xml:space="preserve"> постанов Кабінету Міністрів України від 30.09.2015 №755 «Про затвердження Порядку</w:t>
      </w:r>
      <w:r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</w:t>
      </w:r>
      <w:r>
        <w:rPr>
          <w:sz w:val="28"/>
          <w:szCs w:val="28"/>
          <w:lang w:val="uk-UA"/>
        </w:rPr>
        <w:t xml:space="preserve">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6.03.2002 № 264 «Про затвердження Порядку обліку</w:t>
      </w:r>
      <w:r>
        <w:rPr>
          <w:sz w:val="28"/>
          <w:szCs w:val="28"/>
          <w:lang w:val="uk-UA"/>
        </w:rPr>
        <w:t xml:space="preserve"> місць масового відпочинку населення на водних об’єктах», «Про затвердження Правил охорони життя людей на водних об’єктах України» (із змінами), затверджених наказом МВС України від 10.04.2017 №301 і зареєстрованих в Мін’юсті від 04.05.2017 за № 566/30434.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матеріального резерву для запобігання, ліквідації наслідків </w:t>
      </w:r>
      <w:r>
        <w:rPr>
          <w:color w:val="000000"/>
          <w:sz w:val="28"/>
          <w:szCs w:val="28"/>
          <w:lang w:val="uk-UA"/>
        </w:rPr>
        <w:t xml:space="preserve">надзвичайних ситуацій техногенного, природного, соціального та воєнного характеру</w:t>
      </w:r>
      <w:r>
        <w:rPr>
          <w:sz w:val="28"/>
          <w:szCs w:val="28"/>
          <w:lang w:val="uk-UA"/>
        </w:rPr>
        <w:t xml:space="preserve"> з метою екстреного використання його у разі вин</w:t>
      </w:r>
      <w:r>
        <w:rPr>
          <w:sz w:val="28"/>
          <w:szCs w:val="28"/>
          <w:lang w:val="uk-UA"/>
        </w:rPr>
        <w:t xml:space="preserve">икнення надзвичайних ситуацій, удосконалення системи реагування на надзвичайні ситуації, проведення роз’яснювально-пропагандистської роботи серед населення, а також організації робіт із запобігання виникненню пожеж та їх гасіння на об’єктах і території нас</w:t>
      </w:r>
      <w:r>
        <w:rPr>
          <w:sz w:val="28"/>
          <w:szCs w:val="28"/>
          <w:lang w:val="uk-UA"/>
        </w:rPr>
        <w:t xml:space="preserve">елених пунктів громади, підвищення оперативності у ліквідації наслідків можливих пожеж та інших надзвичайних ситуацій, вжиття заходів щодо створення добровільних пожежних дружин (команд) та їх матеріальної та фінансової підтримки, забезпечення охорони здор</w:t>
      </w:r>
      <w:r>
        <w:rPr>
          <w:sz w:val="28"/>
          <w:szCs w:val="28"/>
          <w:lang w:val="uk-UA"/>
        </w:rPr>
        <w:t xml:space="preserve">ов’я і життя людей, збереження матеріальних цінностей на території населених пунктів громади, забезпечення евакуації/вивезення/переміщення цивільного населення із місцевості, де ведуться бойові дії, та небезпечних територій у безпечні місця, зокрема на опл</w:t>
      </w:r>
      <w:r>
        <w:rPr>
          <w:sz w:val="28"/>
          <w:szCs w:val="28"/>
          <w:lang w:val="uk-UA"/>
        </w:rPr>
        <w:t xml:space="preserve">ату транспортних послуг, пально-мастильних матеріалів, облаштування місць розміщення громадян, які у зв’язку з бойовими діями залишили місце проживання/перебування, оплату інших заходів спрямованих на підтримку цивільного населення в умовах воєнного стану.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підтримки Прогрими «U-LEAD з Європою , підтримує об’єднані</w:t>
      </w:r>
      <w:r>
        <w:rPr>
          <w:sz w:val="28"/>
          <w:szCs w:val="28"/>
          <w:lang w:val="uk-UA"/>
        </w:rPr>
        <w:t xml:space="preserve"> територіальні програми у процесі розвитку управління кризовими ситуаціями на місцевому рівні та створенні планів заходів у сфері цивільного захисту з особливим акцентом на створення добровільних пожежних команд, які доповнюють професійні пожежні частини. </w:t>
      </w:r>
      <w:r>
        <w:rPr>
          <w:sz w:val="28"/>
          <w:szCs w:val="28"/>
          <w:lang w:val="uk-UA"/>
        </w:rPr>
        <w:t xml:space="preserve">Проект також сприяє зміцненню потенціалу об’єднаної громади  та активізацію населення.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(далі – ДПК), засновником яких є Менська міська рада або КУ “Місцева пожежна охорона” Менської міської ради Менського району Чернігівської області (далі - МПО);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страхування членів добровільних пожежних команд;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пожежних команд та працівників КУ «Місцева пожежна охорона” спецодягом, інвентарем, приміщенням, спецтехнікою та іншими необхідними матеріалами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необхідних для надання термінової допомоги постраждалому населенню для ремонту будівель та споруд у зонах масштабних надзвичайних ситуацій;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оперативно-рятувальної служби цивільного захисту, авар</w:t>
      </w:r>
      <w:r>
        <w:rPr>
          <w:sz w:val="28"/>
          <w:szCs w:val="28"/>
          <w:lang w:val="uk-UA"/>
        </w:rPr>
        <w:t xml:space="preserve">ійно-рятувальних формувань, державних і комунальних служб, залучених до локалізації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</w:t>
      </w:r>
      <w:r>
        <w:rPr>
          <w:sz w:val="28"/>
          <w:szCs w:val="28"/>
          <w:lang w:val="uk-UA"/>
        </w:rPr>
        <w:t xml:space="preserve">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хімічного захисту;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обстеження і очищення дна акваторій пляжів водолазами, паспортизація пляжів;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облаштування місць, заборонених для купання, відповідними попереджувальними знаками;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об’єктах комунальної власності пожежної сигналізації та закупівля/оновлення засобів колективного та індивідуального захисту.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придбання систем оповіщення цивільного  населення.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забезпечено за необхідності евакуацію/вивезення/переміщення цивільного населення із місцевості, де ведуться бойові дії, та небезпечних територій у безпечні місця.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організації та функціонування пунктів незламності визначених на території Менської міської територіальної громади.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lang w:val="uk-UA"/>
        </w:rPr>
      </w:r>
      <w:bookmarkStart w:id="1" w:name="78"/>
      <w:r>
        <w:rPr>
          <w:lang w:val="uk-UA"/>
        </w:rPr>
      </w:r>
      <w:bookmarkEnd w:id="1"/>
      <w:r>
        <w:rPr>
          <w:b/>
          <w:sz w:val="28"/>
          <w:szCs w:val="28"/>
          <w:lang w:val="uk-UA"/>
        </w:rPr>
        <w:t xml:space="preserve">3. МЕТА ПРОГРАМИ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 захист населення і територій від наслідків надзвичайних ситуацій техногенного, природного, соціального та воєнного характеру, ефективне функціонування територіальної підсистеми Єдиної </w:t>
      </w:r>
      <w:r>
        <w:rPr>
          <w:color w:val="000000"/>
          <w:sz w:val="28"/>
          <w:szCs w:val="28"/>
          <w:lang w:val="uk-UA"/>
        </w:rPr>
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</w:r>
      <w:r>
        <w:rPr>
          <w:lang w:val="uk-UA"/>
        </w:rPr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МЕХАНІЗМ РЕАЛІЗАЦІЇ І КОНТРОЛЮ ЗА ВИКОНАННЯМ </w:t>
      </w:r>
      <w:r>
        <w:rPr>
          <w:lang w:val="uk-UA"/>
        </w:rPr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оборонної роботи, цивільного захисту населення та роботи з правоохоронними органами Менської міської ради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 території населених пунктів Менської міської територіальної громади та відпрацьовані відповідні Плани реагування територіальної підсистеми Єдиної державної системи цивільного захисту.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заходів з реалізації Програми здійснює </w:t>
      </w:r>
      <w:r>
        <w:rPr>
          <w:color w:val="000000"/>
          <w:sz w:val="28"/>
          <w:szCs w:val="28"/>
          <w:lang w:val="uk-UA"/>
        </w:rPr>
        <w:t xml:space="preserve">сектор оборонної роботи, цивільного захисту населення </w:t>
      </w:r>
      <w:bookmarkStart w:id="2" w:name="_GoBack"/>
      <w:r>
        <w:rPr>
          <w:lang w:val="uk-UA"/>
        </w:rPr>
      </w:r>
      <w:bookmarkEnd w:id="2"/>
      <w:r>
        <w:rPr>
          <w:color w:val="000000"/>
          <w:sz w:val="28"/>
          <w:szCs w:val="28"/>
          <w:lang w:val="uk-UA"/>
        </w:rPr>
        <w:t xml:space="preserve">та роботи з правоохоронними органами Менської міської ради.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Програми покладається на заступника міського голови з питань діяльності виконавчих органів ради (згідно функціональних обов’язків), сектор оборонної роботи, цивільного захисту та роботи з правоохоронними органами Менської міської ради.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 оборонної роботи, цивільного захисту та роботи з правоохоронними органами Менської міської ради  має забезпечити своєчасне та якісне виконання заходів Програми та ефективне і цільове використання коштів.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техногенно-екологічної безпеки і надзвичайних ситуацій Менської міської територіальної громади.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фінансування </w:t>
      </w:r>
      <w:r>
        <w:rPr>
          <w:color w:val="000000"/>
          <w:sz w:val="28"/>
          <w:lang w:val="uk-UA"/>
        </w:rPr>
        <w:t xml:space="preserve">Програми розвитку цивільного захисту Менської міської територіальної громади на 2022-2024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 територіальної громади та інших джерел, не заборонених законодавством.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2022-2024 роки.</w:t>
      </w:r>
      <w:r>
        <w:rPr>
          <w:lang w:val="uk-UA"/>
        </w:rPr>
      </w:r>
      <w:r/>
    </w:p>
    <w:p>
      <w:pPr>
        <w:pStyle w:val="967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ФІНАНСОВЕ ЗАБЕЗПЕЧЕННЯ ПРОГРАМИ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</w:t>
      </w:r>
      <w:r>
        <w:rPr>
          <w:color w:val="000000"/>
          <w:sz w:val="28"/>
          <w:szCs w:val="28"/>
          <w:lang w:val="uk-UA"/>
        </w:rPr>
        <w:t xml:space="preserve">законодавством </w:t>
      </w:r>
      <w:r>
        <w:rPr>
          <w:sz w:val="28"/>
          <w:szCs w:val="28"/>
          <w:lang w:val="uk-UA"/>
        </w:rPr>
        <w:t xml:space="preserve">та здійснюється в межах видатків, затверджених на відповідний рік за відповідним напрямком, виходячи з фінансових можливостей.</w:t>
      </w:r>
      <w:r>
        <w:rPr>
          <w:lang w:val="uk-UA"/>
        </w:rPr>
      </w:r>
      <w:r/>
    </w:p>
    <w:p>
      <w:pPr>
        <w:ind w:right="-1" w:firstLine="567"/>
        <w:jc w:val="both"/>
        <w:shd w:val="clear" w:fill="FFFFFF" w:color="auto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 w:themeColor="text1"/>
          <w:sz w:val="28"/>
          <w:szCs w:val="28"/>
          <w:highlight w:val="white"/>
          <w:lang w:val="uk-UA"/>
        </w:rPr>
        <w:t xml:space="preserve">Фінансування П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рограми може здійснюватися шляхом перерахування субвенції з місцевого бюджету до державного бюджету.</w:t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УПРАВЛІННЯ І КОНТРОЛЬ ЗА РЕАЛІЗАЦІЄЮ ПРОГРАМИ</w:t>
      </w:r>
      <w:r>
        <w:rPr>
          <w:lang w:val="uk-UA"/>
        </w:rPr>
      </w:r>
      <w:r/>
    </w:p>
    <w:p>
      <w:pPr>
        <w:pStyle w:val="967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спеціальних заходів щодо запобігання виникненню надзвичайних ситуацій;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 формування структури КУ «Місцева пожежна охорона» та її матеріальне та фінансове забезпечення;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</w:t>
      </w:r>
      <w:r>
        <w:rPr>
          <w:sz w:val="28"/>
          <w:szCs w:val="28"/>
          <w:lang w:val="uk-UA"/>
        </w:rPr>
        <w:t xml:space="preserve">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захисту в будівлях, які знаходяться в комунальній власності Менської міської територіальної громади;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сигналізацій;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удосконалення систем оповіщення цивільного  населення.</w:t>
      </w:r>
      <w:r>
        <w:rPr>
          <w:lang w:val="uk-UA"/>
        </w:rPr>
      </w:r>
      <w:r/>
    </w:p>
    <w:p>
      <w:pPr>
        <w:pStyle w:val="967"/>
        <w:jc w:val="both"/>
        <w:tabs>
          <w:tab w:val="left" w:pos="283" w:leader="none"/>
          <w:tab w:val="left" w:pos="709" w:leader="none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забезпечення за необхідності евакуації/вивезення/переміщення цивільного населення </w:t>
      </w:r>
      <w:r>
        <w:rPr>
          <w:color w:val="000000"/>
          <w:sz w:val="28"/>
          <w:szCs w:val="28"/>
          <w:lang w:val="uk-UA"/>
        </w:rPr>
        <w:t xml:space="preserve">із місцевості, де ведуться бойові дії, та небезпечних територій у безпечні місця.</w:t>
      </w:r>
      <w:r>
        <w:rPr>
          <w:lang w:val="uk-UA"/>
        </w:rPr>
      </w:r>
      <w:r/>
    </w:p>
    <w:p>
      <w:pPr>
        <w:pStyle w:val="967"/>
        <w:ind w:firstLine="567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</w:t>
      </w:r>
      <w:r>
        <w:rPr>
          <w:bCs/>
          <w:sz w:val="28"/>
          <w:szCs w:val="28"/>
          <w:lang w:val="uk-UA"/>
        </w:rPr>
        <w:t xml:space="preserve">окладається на Сектор оборонної роботи, цивільного захисту населення та роботи з правоохоронними органами  Менської міської ради, Корюківський районний відділ Головного  управління ДСНС в Чернігівській області та керівників потенційно небезпечних об’єктів.</w:t>
      </w:r>
      <w:r>
        <w:rPr>
          <w:lang w:val="uk-UA"/>
        </w:rPr>
      </w:r>
      <w:r/>
    </w:p>
    <w:p>
      <w:pPr>
        <w:pStyle w:val="967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ОЧІКУВАНІ РЕЗУЛЬТАТИ ВІД РЕАЛІЗАЦІЇ ПРОГРАМИ</w:t>
      </w:r>
      <w:r>
        <w:rPr>
          <w:lang w:val="uk-UA"/>
        </w:rPr>
      </w:r>
      <w:r/>
    </w:p>
    <w:p>
      <w:pPr>
        <w:pStyle w:val="967"/>
        <w:ind w:firstLine="5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змогу: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</w:t>
      </w:r>
      <w:r>
        <w:rPr>
          <w:color w:val="000000"/>
          <w:sz w:val="28"/>
          <w:szCs w:val="28"/>
          <w:lang w:val="uk-UA"/>
        </w:rPr>
        <w:t xml:space="preserve">гання, ліквідації надзвичайних ситуацій техногенного, природного, соціального та воєнного характеру та їх наслідків;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достатню кількість добровільних пожежних дружин (команд);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завершити формування структури КУ «Місцева пожежна охорона»;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ремонти спецтехніки та приміщень;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працівників та їх відвідувачів;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</w:t>
      </w:r>
      <w:r>
        <w:rPr>
          <w:sz w:val="28"/>
          <w:szCs w:val="28"/>
          <w:lang w:val="uk-UA"/>
        </w:rPr>
        <w:t xml:space="preserve">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придба</w:t>
      </w:r>
      <w:r>
        <w:rPr>
          <w:bCs/>
          <w:color w:val="000000"/>
          <w:sz w:val="28"/>
          <w:szCs w:val="28"/>
          <w:lang w:val="uk-UA"/>
        </w:rPr>
        <w:t xml:space="preserve">ти системи оповіщення цивільного населення.</w:t>
      </w:r>
      <w:r>
        <w:rPr>
          <w:lang w:val="uk-UA"/>
        </w:rPr>
      </w:r>
      <w:r/>
    </w:p>
    <w:p>
      <w:pPr>
        <w:pStyle w:val="967"/>
        <w:numPr>
          <w:ilvl w:val="0"/>
          <w:numId w:val="21"/>
        </w:numPr>
        <w:ind w:left="0" w:firstLine="0"/>
        <w:jc w:val="both"/>
        <w:tabs>
          <w:tab w:val="left" w:pos="28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забезпечити за необхідності евакуацію/вивезення/переміщення цивільного населення із місцевості, де ведуться бойові дії, та небезпечних територій у безпечні місця.</w:t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</w:t>
      </w:r>
      <w:r>
        <w:rPr>
          <w:sz w:val="28"/>
          <w:szCs w:val="28"/>
          <w:lang w:val="uk-UA"/>
        </w:rPr>
        <w:tab/>
        <w:t xml:space="preserve">Сергій ГАЄВОЙ</w:t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283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10065"/>
        <w:jc w:val="both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Додаток </w:t>
      </w:r>
      <w:r>
        <w:rPr>
          <w:lang w:val="uk-UA"/>
        </w:rPr>
      </w:r>
      <w:r/>
    </w:p>
    <w:p>
      <w:pPr>
        <w:ind w:left="10065"/>
        <w:jc w:val="both"/>
        <w:rPr>
          <w:color w:val="000000"/>
          <w:sz w:val="20"/>
          <w:lang w:val="uk-UA"/>
        </w:rPr>
      </w:pPr>
      <w:r>
        <w:rPr>
          <w:sz w:val="20"/>
          <w:lang w:val="uk-UA"/>
        </w:rPr>
        <w:t xml:space="preserve">до Програми </w:t>
      </w:r>
      <w:r>
        <w:rPr>
          <w:sz w:val="20"/>
          <w:lang w:val="uk-UA"/>
        </w:rPr>
        <w:t xml:space="preserve">розвитку цивільного захисту Менської міської територіальної </w:t>
      </w:r>
      <w:r>
        <w:rPr>
          <w:sz w:val="20"/>
          <w:lang w:val="uk-UA"/>
        </w:rPr>
        <w:t xml:space="preserve">на 2022-2024 роки </w:t>
      </w:r>
      <w:r>
        <w:rPr>
          <w:lang w:val="uk-UA"/>
        </w:rPr>
      </w:r>
      <w:r/>
    </w:p>
    <w:p>
      <w:pPr>
        <w:pStyle w:val="967"/>
        <w:ind w:right="12"/>
        <w:jc w:val="center"/>
        <w:shd w:val="clear" w:color="FFFFFF" w:fill="FFFFFF"/>
        <w:rPr>
          <w:b/>
          <w:bCs/>
          <w:sz w:val="24"/>
          <w:szCs w:val="28"/>
          <w:lang w:val="uk-UA"/>
        </w:rPr>
      </w:pPr>
      <w:r>
        <w:rPr>
          <w:b/>
          <w:bCs/>
          <w:sz w:val="24"/>
          <w:szCs w:val="28"/>
          <w:lang w:val="uk-UA"/>
        </w:rPr>
        <w:t xml:space="preserve">Напрями діяльності та заходи </w:t>
      </w:r>
      <w:r>
        <w:rPr>
          <w:b/>
          <w:sz w:val="24"/>
          <w:lang w:val="uk-UA"/>
        </w:rPr>
        <w:t xml:space="preserve">Програма розвитку цивільного захисту Менської міської територіальної громади на 2022-2024 роки</w:t>
      </w:r>
      <w:r>
        <w:rPr>
          <w:sz w:val="22"/>
          <w:lang w:val="uk-UA"/>
        </w:rPr>
      </w:r>
      <w:r/>
    </w:p>
    <w:tbl>
      <w:tblPr>
        <w:tblW w:w="16092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659"/>
        <w:gridCol w:w="850"/>
        <w:gridCol w:w="2659"/>
        <w:gridCol w:w="1736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W w:w="457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2022 рік, тис грн.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2023 рік, тис грн.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2024 рік, тис грн.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громади, інші кошти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pStyle w:val="967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3.1. Придбання паливно-мастильних матеріалів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500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</w:t>
            </w:r>
            <w:r>
              <w:rPr>
                <w:bCs/>
                <w:lang w:val="uk-UA"/>
              </w:rPr>
              <w:t xml:space="preserve">мінімальними фінансовими і матеріальними затратами. </w:t>
            </w:r>
            <w:r>
              <w:rPr>
                <w:bCs/>
                <w:sz w:val="23"/>
                <w:szCs w:val="23"/>
                <w:lang w:val="uk-UA"/>
              </w:rPr>
              <w:t xml:space="preserve">Покращити матеріально-технічне оснащення.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3.2. Придбання засобів для  запобігання і ліквідації наслідків надзвичайних ситуацій та небезпечних подій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szCs w:val="23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szCs w:val="23"/>
                <w:lang w:val="uk-UA"/>
              </w:rPr>
              <w:t xml:space="preserve">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3212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FF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небезпечних факторів техногенного характеру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shd w:val="clear" w:color="FFFFFF" w:fill="FFFFFF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5.2. Р</w:t>
            </w:r>
            <w:r>
              <w:rPr>
                <w:sz w:val="23"/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Оперативне реагування на надзвичайні ситуації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vMerge w:val="continue"/>
            <w:textDirection w:val="lrTb"/>
            <w:noWrap/>
          </w:tcPr>
          <w:p>
            <w:pPr>
              <w:pStyle w:val="967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237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5.3. </w:t>
            </w:r>
            <w:r>
              <w:rPr>
                <w:sz w:val="23"/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Корюк</w:t>
            </w:r>
            <w:r>
              <w:rPr>
                <w:bCs/>
                <w:sz w:val="23"/>
                <w:szCs w:val="23"/>
                <w:lang w:val="uk-UA"/>
              </w:rPr>
              <w:t xml:space="preserve">і</w:t>
            </w:r>
            <w:r>
              <w:rPr>
                <w:bCs/>
                <w:sz w:val="23"/>
                <w:szCs w:val="23"/>
                <w:lang w:val="uk-UA"/>
              </w:rPr>
              <w:t xml:space="preserve">вський РВ ГУ </w:t>
            </w:r>
            <w:r>
              <w:rPr>
                <w:bCs/>
                <w:sz w:val="23"/>
                <w:szCs w:val="23"/>
                <w:lang w:val="uk-UA"/>
              </w:rPr>
              <w:t xml:space="preserve">ДСНС у Чернігівській області 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15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вибухо-небезпечних предметів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Проведення роз’яснювально- пропагандистської  роботи серед населення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 виникнення надзвичайних ситуацій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bCs/>
                <w:sz w:val="23"/>
                <w:szCs w:val="23"/>
                <w:lang w:val="uk-UA"/>
              </w:rPr>
            </w:pPr>
            <w:r>
              <w:rPr>
                <w:lang w:val="uk-UA"/>
              </w:rPr>
            </w:r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</w:t>
            </w:r>
            <w:r>
              <w:rPr>
                <w:lang w:val="uk-UA"/>
              </w:rPr>
              <w:t xml:space="preserve">радою або КУ «Місцева пожежна охорона»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 Менської міської ради,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</w:t>
            </w:r>
            <w:r>
              <w:rPr>
                <w:bCs/>
                <w:lang w:val="uk-UA"/>
              </w:rPr>
              <w:t xml:space="preserve">матеріальними затратами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спецодягу та засобів індивідуального захисту для членів ДПК, працівників МПО.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берцями, </w:t>
            </w:r>
            <w:r>
              <w:rPr>
                <w:lang w:val="uk-UA"/>
              </w:rPr>
              <w:t xml:space="preserve">аварійно-рятувальним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членів ДПК та працівників МПО</w:t>
            </w:r>
            <w:r>
              <w:rPr>
                <w:bCs/>
                <w:sz w:val="23"/>
                <w:szCs w:val="23"/>
                <w:lang w:val="uk-UA"/>
              </w:rPr>
              <w:t xml:space="preserve"> небезпечних факторів 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спецтехніки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9.1. Поточний ремонт пожежних автомобілів</w:t>
            </w:r>
            <w:r>
              <w:rPr>
                <w:lang w:val="uk-UA"/>
              </w:rPr>
              <w:t xml:space="preserve">КУ «Місцева пожежна охорона»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Приведення спецтехніки, яка знаходиться на території Менської ОТГ до робочого стану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матеріально-технічної бази Корюківського РВ ГУ ДСНС України у Чернігівській області,КУ «Місцева пожежна охорона» Менської міської ради, ДПК.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10.1. Придбання паливо-мастильних матеріалів для готовності пожежної та аварійно-рятувальної техніки </w:t>
            </w:r>
            <w:r>
              <w:rPr>
                <w:lang w:val="uk-UA"/>
              </w:rPr>
              <w:t xml:space="preserve">Корюківського РВ ГУ</w:t>
            </w:r>
            <w:r>
              <w:rPr>
                <w:color w:val="000000"/>
                <w:lang w:val="uk-UA"/>
              </w:rPr>
              <w:t xml:space="preserve">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</w:t>
            </w:r>
            <w:r>
              <w:rPr>
                <w:color w:val="000000"/>
                <w:lang w:val="uk-UA"/>
              </w:rPr>
              <w:t xml:space="preserve">надзвичайних ситуацій техногенного, природного, соціального та воєнного характеру</w:t>
            </w:r>
            <w:r>
              <w:rPr>
                <w:bCs/>
                <w:lang w:val="uk-UA"/>
              </w:rPr>
              <w:t xml:space="preserve"> з мінімальними фінансовими і матеріальними затратами</w:t>
            </w:r>
            <w:r>
              <w:rPr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та ДПК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11.1. Поточний ремонт будівель пожежних ДЕПО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230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та ДПК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12.1. Капітальний ремонт будівель пожежних ДЕПО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 бюджети інших рівнів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230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спецтехніки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13.1 Придбання ЗІЛ-131 пристосований для потреб МПО (цистерна для води не менше 4 т.) 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 </w:t>
            </w:r>
            <w:r>
              <w:rPr>
                <w:lang w:val="uk-UA"/>
              </w:rPr>
              <w:t xml:space="preserve">КУ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1100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lang w:val="uk-UA"/>
              </w:rPr>
              <w:t xml:space="preserve">1130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1150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оповіщення цивільного населення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14.1. Придбання систем оповіщення цивільного  населення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530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Оперативне та дієве оповіщення населення про </w:t>
            </w:r>
            <w:r>
              <w:rPr>
                <w:color w:val="000000"/>
                <w:lang w:val="uk-UA"/>
              </w:rPr>
              <w:t xml:space="preserve">надзвичайні ситуації техногенного, природного, соціального та воєнного характеру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57"/>
        </w:trPr>
        <w:tc>
          <w:tcPr>
            <w:tcW w:w="457" w:type="dxa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textDirection w:val="lrTb"/>
            <w:noWrap/>
          </w:tcPr>
          <w:p>
            <w:pPr>
              <w:pStyle w:val="9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Забезпечення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rPr>
                <w:bCs/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15.1.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Оплата транспортних послуг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, п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ально-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мастильних матеріалів,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о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блаштування місць розміщення громадян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, які у зв’язку з бойовими діями залишили місце проживання/перебування,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 виготовлення проектно-кошторисної документації, проведення експертизи проектно-кошторисної документації, здійснення авторського нагляду, здійснення технічного нагляду, виготовлення технічних умов на підключення до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інженерних мереж, виготовлення проектно-к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ошторисної документації на підключення до інженерних мереж, виготовлення технічного паспорту на будівлю, виготовлення сертифіката готовності об’єкта до експлуатації, оплату інших заходів спрямованих на підтримку цивільного населення в умовах воєнного стану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Менської Менської міської територіальної громади, бюджети інших рівнів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1000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1100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1200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Ефективне та реальне забезпечення процесу евакуації/вивезення/переміщення цивільного населення із місцевості, де ведуться бойові дії, та небезпечних територій у безпечні місця</w:t>
            </w:r>
            <w:r>
              <w:rPr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W w:w="457" w:type="dxa"/>
            <w:vMerge w:val="restart"/>
            <w:textDirection w:val="lrTb"/>
            <w:noWrap/>
          </w:tcPr>
          <w:p>
            <w:pPr>
              <w:pStyle w:val="899"/>
              <w:numPr>
                <w:ilvl w:val="0"/>
                <w:numId w:val="18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237" w:type="dxa"/>
            <w:vMerge w:val="restart"/>
            <w:textDirection w:val="lrTb"/>
            <w:noWrap/>
          </w:tcPr>
          <w:p>
            <w:pPr>
              <w:pStyle w:val="967"/>
              <w:jc w:val="both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Забезпечення організації та функціонування пунктів незламності визначених на території Менської міської територіальної громади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rPr>
                <w:color w:val="00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Здійснення заходів щодо комплектації та забезпечення діяльності пунктів незламності (оплата товарів та послуг, придбання обладнання необхідного для повноцінного функціонування пунктів незламності, поточні та капітальні ремонти)</w:t>
            </w:r>
            <w:r>
              <w:rPr>
                <w:lang w:val="uk-UA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2022-2024</w:t>
            </w:r>
            <w:r>
              <w:rPr>
                <w:lang w:val="uk-UA"/>
              </w:rPr>
            </w:r>
            <w:r/>
          </w:p>
        </w:tc>
        <w:tc>
          <w:tcPr>
            <w:tcW w:w="2659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Менська міська рада, підприємства, установи, заклади та організації всіх форм власності, які визначені як пункти незламності</w:t>
            </w:r>
            <w:r>
              <w:rPr>
                <w:lang w:val="uk-UA"/>
              </w:rPr>
            </w:r>
            <w:r/>
          </w:p>
        </w:tc>
        <w:tc>
          <w:tcPr>
            <w:tcW w:w="1735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Бюджет Менської Менської міської територіальної громади, бюджети інших рівнів, інші незаборонені законодавством джерела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  <w:lang w:val="uk-UA"/>
              </w:rPr>
            </w:pPr>
            <w:r>
              <w:rPr>
                <w:color w:val="000000"/>
                <w:sz w:val="24"/>
                <w:szCs w:val="23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  <w:lang w:val="uk-UA"/>
              </w:rPr>
            </w:pPr>
            <w:r>
              <w:rPr>
                <w:color w:val="000000" w:themeColor="text1"/>
                <w:sz w:val="24"/>
                <w:szCs w:val="23"/>
                <w:lang w:val="uk-UA"/>
              </w:rPr>
              <w:t xml:space="preserve">900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3"/>
                <w:lang w:val="uk-UA"/>
              </w:rPr>
            </w:pPr>
            <w:r>
              <w:rPr>
                <w:color w:val="000000"/>
                <w:sz w:val="24"/>
                <w:szCs w:val="23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color w:val="00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Запобігання і ліквідація наслідків </w:t>
            </w:r>
            <w:r>
              <w:rPr>
                <w:color w:val="000000" w:themeColor="text1"/>
                <w:lang w:val="uk-UA"/>
              </w:rPr>
              <w:t xml:space="preserve">надзвичайних ситуацій техногенного, природного, соціального та воєнного характеру.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W w:w="10598" w:type="dxa"/>
            <w:vMerge w:val="restart"/>
            <w:textDirection w:val="lrTb"/>
            <w:noWrap/>
          </w:tcPr>
          <w:p>
            <w:pPr>
              <w:pStyle w:val="967"/>
              <w:widowControl w:val="off"/>
              <w:rPr>
                <w:bCs/>
                <w:lang w:val="uk-UA"/>
              </w:rPr>
            </w:pPr>
            <w:r>
              <w:rPr>
                <w:lang w:val="uk-UA"/>
              </w:rPr>
              <w:t xml:space="preserve">Усього: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vAlign w:val="center"/>
            <w:textDirection w:val="lrTb"/>
            <w:noWrap/>
          </w:tcPr>
          <w:p>
            <w:pPr>
              <w:rPr>
                <w:color w:val="000000"/>
                <w:sz w:val="24"/>
                <w:szCs w:val="23"/>
                <w:lang w:val="uk-UA"/>
              </w:rPr>
            </w:pPr>
            <w:r>
              <w:rPr>
                <w:color w:val="000000" w:themeColor="text1"/>
                <w:sz w:val="24"/>
                <w:szCs w:val="23"/>
                <w:lang w:val="uk-UA"/>
              </w:rPr>
              <w:t xml:space="preserve">3735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5391</w:t>
            </w:r>
            <w:r>
              <w:rPr>
                <w:lang w:val="uk-UA"/>
              </w:rPr>
            </w:r>
            <w:r/>
          </w:p>
        </w:tc>
        <w:tc>
          <w:tcPr>
            <w:tcW w:w="881" w:type="dxa"/>
            <w:textDirection w:val="lrTb"/>
            <w:noWrap/>
          </w:tcPr>
          <w:p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4707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6"/>
            <w:tcW w:w="10598" w:type="dxa"/>
            <w:vMerge w:val="continue"/>
            <w:textDirection w:val="lrTb"/>
            <w:noWrap/>
          </w:tcPr>
          <w:p>
            <w:pPr>
              <w:pStyle w:val="967"/>
              <w:widowControl w:val="off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3"/>
            <w:tcW w:w="264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13833</w:t>
            </w:r>
            <w:r>
              <w:rPr>
                <w:lang w:val="uk-UA"/>
              </w:rPr>
            </w:r>
            <w:r/>
          </w:p>
        </w:tc>
        <w:tc>
          <w:tcPr>
            <w:tcW w:w="2851" w:type="dxa"/>
            <w:textDirection w:val="lrTb"/>
            <w:noWrap/>
          </w:tcPr>
          <w:p>
            <w:pPr>
              <w:pStyle w:val="967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діяльності </w:t>
      </w:r>
      <w:r>
        <w:rPr>
          <w:lang w:val="uk-UA"/>
        </w:rPr>
      </w:r>
      <w:r/>
    </w:p>
    <w:p>
      <w:pPr>
        <w:pStyle w:val="967"/>
        <w:jc w:val="both"/>
        <w:tabs>
          <w:tab w:val="left" w:pos="73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  <w:t xml:space="preserve">Сергій ГАЄВОЙ</w:t>
      </w:r>
      <w:r>
        <w:rPr>
          <w:lang w:val="uk-UA"/>
        </w:rPr>
      </w:r>
      <w:r/>
    </w:p>
    <w:sectPr>
      <w:footerReference w:type="first" r:id="rId13"/>
      <w:footnotePr/>
      <w:endnotePr/>
      <w:type w:val="nextPage"/>
      <w:pgSz w:w="16838" w:h="11906" w:orient="landscape"/>
      <w:pgMar w:top="993" w:right="1134" w:bottom="567" w:left="1134" w:header="31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Batang">
    <w:panose1 w:val="02020603020101020101"/>
  </w:font>
  <w:font w:name="Calibri">
    <w:panose1 w:val="020F0502020204030204"/>
  </w:font>
  <w:font w:name="Cambria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  <w:lang w:val="uk-UA"/>
      </w:rPr>
      <w:t xml:space="preserve">                                   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rPr>
        <w:rStyle w:val="975"/>
      </w:rPr>
      <w:framePr w:wrap="around" w:vAnchor="text" w:hAnchor="margin" w:xAlign="center" w:y="1"/>
    </w:pPr>
    <w:r>
      <w:rPr>
        <w:rStyle w:val="975"/>
      </w:rPr>
      <w:fldChar w:fldCharType="begin"/>
    </w:r>
    <w:r>
      <w:rPr>
        <w:rStyle w:val="975"/>
      </w:rPr>
      <w:instrText xml:space="preserve">PAGE  </w:instrText>
    </w:r>
    <w:r>
      <w:rPr>
        <w:rStyle w:val="975"/>
      </w:rPr>
      <w:fldChar w:fldCharType="end"/>
    </w:r>
    <w:r/>
  </w:p>
  <w:p>
    <w:pPr>
      <w:pStyle w:val="9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8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  <w:rPr>
      <w:lang w:eastAsia="en-US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Endnote Text Char"/>
    <w:link w:val="866"/>
    <w:uiPriority w:val="99"/>
    <w:rPr>
      <w:sz w:val="20"/>
    </w:rPr>
  </w:style>
  <w:style w:type="paragraph" w:styleId="740" w:customStyle="1">
    <w:name w:val="Heading 3"/>
    <w:basedOn w:val="735"/>
    <w:next w:val="735"/>
    <w:link w:val="8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 w:customStyle="1">
    <w:name w:val="Heading 1"/>
    <w:basedOn w:val="735"/>
    <w:next w:val="735"/>
    <w:link w:val="749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 w:customStyle="1">
    <w:name w:val="Heading 2"/>
    <w:basedOn w:val="735"/>
    <w:next w:val="735"/>
    <w:link w:val="750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43" w:customStyle="1">
    <w:name w:val="Heading 4"/>
    <w:basedOn w:val="735"/>
    <w:next w:val="735"/>
    <w:link w:val="75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4" w:customStyle="1">
    <w:name w:val="Heading 5"/>
    <w:basedOn w:val="735"/>
    <w:next w:val="735"/>
    <w:link w:val="75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5" w:customStyle="1">
    <w:name w:val="Heading 6"/>
    <w:basedOn w:val="735"/>
    <w:next w:val="735"/>
    <w:link w:val="75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46" w:customStyle="1">
    <w:name w:val="Heading 7"/>
    <w:basedOn w:val="735"/>
    <w:next w:val="735"/>
    <w:link w:val="75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7" w:customStyle="1">
    <w:name w:val="Heading 8"/>
    <w:basedOn w:val="735"/>
    <w:next w:val="735"/>
    <w:link w:val="75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48" w:customStyle="1">
    <w:name w:val="Heading 9"/>
    <w:basedOn w:val="735"/>
    <w:next w:val="735"/>
    <w:link w:val="75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customStyle="1">
    <w:name w:val="Heading 1 Char"/>
    <w:basedOn w:val="736"/>
    <w:link w:val="889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50" w:customStyle="1">
    <w:name w:val="Heading 2 Char"/>
    <w:basedOn w:val="736"/>
    <w:link w:val="890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51" w:customStyle="1">
    <w:name w:val="Heading 4 Char"/>
    <w:basedOn w:val="736"/>
    <w:link w:val="893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52" w:customStyle="1">
    <w:name w:val="Heading 5 Char"/>
    <w:basedOn w:val="736"/>
    <w:link w:val="894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53" w:customStyle="1">
    <w:name w:val="Heading 6 Char"/>
    <w:basedOn w:val="736"/>
    <w:link w:val="895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54" w:customStyle="1">
    <w:name w:val="Heading 7 Char"/>
    <w:basedOn w:val="736"/>
    <w:link w:val="896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55" w:customStyle="1">
    <w:name w:val="Heading 8 Char"/>
    <w:basedOn w:val="736"/>
    <w:link w:val="897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56" w:customStyle="1">
    <w:name w:val="Heading 9 Char"/>
    <w:basedOn w:val="736"/>
    <w:link w:val="898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57">
    <w:name w:val="table of figures"/>
    <w:basedOn w:val="735"/>
    <w:next w:val="735"/>
    <w:uiPriority w:val="99"/>
  </w:style>
  <w:style w:type="paragraph" w:styleId="758" w:customStyle="1">
    <w:name w:val="Caption"/>
    <w:basedOn w:val="735"/>
    <w:next w:val="735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endnote text"/>
    <w:basedOn w:val="735"/>
    <w:link w:val="867"/>
    <w:uiPriority w:val="99"/>
    <w:semiHidden/>
    <w:rPr>
      <w:sz w:val="20"/>
      <w:szCs w:val="20"/>
      <w:lang w:eastAsia="ru-RU"/>
    </w:rPr>
  </w:style>
  <w:style w:type="character" w:styleId="867" w:customStyle="1">
    <w:name w:val="Текст концевой сноски Знак"/>
    <w:basedOn w:val="736"/>
    <w:link w:val="866"/>
    <w:uiPriority w:val="99"/>
    <w:rPr>
      <w:rFonts w:cs="Times New Roman"/>
      <w:sz w:val="20"/>
    </w:rPr>
  </w:style>
  <w:style w:type="character" w:styleId="868">
    <w:name w:val="endnote reference"/>
    <w:basedOn w:val="736"/>
    <w:uiPriority w:val="99"/>
    <w:semiHidden/>
    <w:rPr>
      <w:rFonts w:cs="Times New Roman"/>
      <w:vertAlign w:val="superscript"/>
    </w:rPr>
  </w:style>
  <w:style w:type="paragraph" w:styleId="869" w:customStyle="1">
    <w:name w:val="Заголовок 11"/>
    <w:basedOn w:val="735"/>
    <w:next w:val="735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870" w:customStyle="1">
    <w:name w:val="Заголовок 21"/>
    <w:basedOn w:val="735"/>
    <w:next w:val="735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871" w:customStyle="1">
    <w:name w:val="Заголовок 31"/>
    <w:basedOn w:val="735"/>
    <w:next w:val="735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872" w:customStyle="1">
    <w:name w:val="Заголовок 41"/>
    <w:basedOn w:val="735"/>
    <w:next w:val="735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3" w:customStyle="1">
    <w:name w:val="Заголовок 51"/>
    <w:basedOn w:val="735"/>
    <w:next w:val="735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4" w:customStyle="1">
    <w:name w:val="Заголовок 61"/>
    <w:basedOn w:val="735"/>
    <w:next w:val="735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875" w:customStyle="1">
    <w:name w:val="Заголовок 71"/>
    <w:basedOn w:val="735"/>
    <w:next w:val="735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6" w:customStyle="1">
    <w:name w:val="Заголовок 81"/>
    <w:basedOn w:val="735"/>
    <w:next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877" w:customStyle="1">
    <w:name w:val="Заголовок 91"/>
    <w:basedOn w:val="735"/>
    <w:next w:val="735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8" w:customStyle="1">
    <w:name w:val="Верхний колонтитул1"/>
    <w:basedOn w:val="735"/>
    <w:uiPriority w:val="99"/>
    <w:pPr>
      <w:tabs>
        <w:tab w:val="center" w:pos="7143" w:leader="none"/>
        <w:tab w:val="right" w:pos="14287" w:leader="none"/>
      </w:tabs>
    </w:pPr>
  </w:style>
  <w:style w:type="paragraph" w:styleId="879" w:customStyle="1">
    <w:name w:val="Нижний колонтитул1"/>
    <w:basedOn w:val="735"/>
    <w:uiPriority w:val="99"/>
    <w:pPr>
      <w:tabs>
        <w:tab w:val="center" w:pos="7143" w:leader="none"/>
        <w:tab w:val="right" w:pos="14287" w:leader="none"/>
      </w:tabs>
    </w:pPr>
  </w:style>
  <w:style w:type="paragraph" w:styleId="880" w:customStyle="1">
    <w:name w:val="Заголовок 111"/>
    <w:basedOn w:val="967"/>
    <w:next w:val="967"/>
    <w:link w:val="928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81" w:customStyle="1">
    <w:name w:val="Заголовок 211"/>
    <w:basedOn w:val="967"/>
    <w:next w:val="967"/>
    <w:link w:val="929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82" w:customStyle="1">
    <w:name w:val="Заголовок 311"/>
    <w:basedOn w:val="967"/>
    <w:next w:val="967"/>
    <w:link w:val="930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83" w:customStyle="1">
    <w:name w:val="Заголовок 411"/>
    <w:basedOn w:val="967"/>
    <w:next w:val="967"/>
    <w:link w:val="931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84" w:customStyle="1">
    <w:name w:val="Заголовок 511"/>
    <w:link w:val="932"/>
    <w:uiPriority w:val="99"/>
    <w:rPr>
      <w:rFonts w:ascii="Arial" w:hAnsi="Arial"/>
      <w:b/>
    </w:rPr>
    <w:pPr>
      <w:keepLines/>
      <w:keepNext/>
      <w:spacing w:after="200" w:before="320"/>
      <w:outlineLvl w:val="4"/>
    </w:pPr>
  </w:style>
  <w:style w:type="paragraph" w:styleId="885" w:customStyle="1">
    <w:name w:val="Заголовок 611"/>
    <w:basedOn w:val="967"/>
    <w:next w:val="967"/>
    <w:link w:val="933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86" w:customStyle="1">
    <w:name w:val="Заголовок 711"/>
    <w:link w:val="934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87" w:customStyle="1">
    <w:name w:val="Заголовок 811"/>
    <w:link w:val="935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88" w:customStyle="1">
    <w:name w:val="Заголовок 911"/>
    <w:link w:val="936"/>
    <w:uiPriority w:val="99"/>
    <w:rPr>
      <w:rFonts w:ascii="Arial" w:hAnsi="Arial"/>
      <w:i/>
    </w:rPr>
    <w:pPr>
      <w:keepLines/>
      <w:keepNext/>
      <w:spacing w:after="200" w:before="320"/>
      <w:outlineLvl w:val="8"/>
    </w:pPr>
  </w:style>
  <w:style w:type="paragraph" w:styleId="889" w:customStyle="1">
    <w:name w:val="Заголовок 12"/>
    <w:link w:val="749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90" w:customStyle="1">
    <w:name w:val="Заголовок 22"/>
    <w:link w:val="750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91" w:customStyle="1">
    <w:name w:val="Заголовок 32"/>
    <w:link w:val="892"/>
    <w:uiPriority w:val="99"/>
    <w:rPr>
      <w:rFonts w:ascii="Arial" w:hAnsi="Arial"/>
    </w:rPr>
    <w:pPr>
      <w:keepLines/>
      <w:keepNext/>
      <w:spacing w:after="200" w:before="320"/>
      <w:outlineLvl w:val="2"/>
    </w:pPr>
  </w:style>
  <w:style w:type="character" w:styleId="892" w:customStyle="1">
    <w:name w:val="Heading 3 Char"/>
    <w:link w:val="891"/>
    <w:uiPriority w:val="99"/>
    <w:rPr>
      <w:rFonts w:ascii="Arial" w:hAnsi="Arial"/>
      <w:sz w:val="22"/>
    </w:rPr>
  </w:style>
  <w:style w:type="paragraph" w:styleId="893" w:customStyle="1">
    <w:name w:val="Заголовок 42"/>
    <w:link w:val="751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4" w:customStyle="1">
    <w:name w:val="Заголовок 52"/>
    <w:link w:val="752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95" w:customStyle="1">
    <w:name w:val="Заголовок 62"/>
    <w:link w:val="753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96" w:customStyle="1">
    <w:name w:val="Заголовок 72"/>
    <w:link w:val="754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97" w:customStyle="1">
    <w:name w:val="Заголовок 82"/>
    <w:link w:val="755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98" w:customStyle="1">
    <w:name w:val="Заголовок 92"/>
    <w:link w:val="756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99">
    <w:name w:val="List Paragraph"/>
    <w:basedOn w:val="735"/>
    <w:qFormat/>
    <w:uiPriority w:val="99"/>
    <w:rPr>
      <w:lang w:val="uk-UA"/>
    </w:rPr>
    <w:pPr>
      <w:contextualSpacing w:val="true"/>
      <w:ind w:left="720"/>
    </w:pPr>
  </w:style>
  <w:style w:type="paragraph" w:styleId="900">
    <w:name w:val="No Spacing"/>
    <w:qFormat/>
    <w:uiPriority w:val="99"/>
    <w:rPr>
      <w:lang w:val="uk-UA" w:eastAsia="en-US"/>
    </w:rPr>
  </w:style>
  <w:style w:type="paragraph" w:styleId="901">
    <w:name w:val="Title"/>
    <w:basedOn w:val="735"/>
    <w:link w:val="937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902" w:customStyle="1">
    <w:name w:val="Title Char"/>
    <w:basedOn w:val="736"/>
    <w:link w:val="901"/>
    <w:uiPriority w:val="99"/>
    <w:rPr>
      <w:rFonts w:cs="Times New Roman"/>
      <w:sz w:val="48"/>
    </w:rPr>
  </w:style>
  <w:style w:type="paragraph" w:styleId="903">
    <w:name w:val="Subtitle"/>
    <w:basedOn w:val="735"/>
    <w:link w:val="938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904" w:customStyle="1">
    <w:name w:val="Subtitle Char"/>
    <w:basedOn w:val="736"/>
    <w:link w:val="903"/>
    <w:uiPriority w:val="99"/>
    <w:rPr>
      <w:rFonts w:cs="Times New Roman"/>
      <w:sz w:val="24"/>
    </w:rPr>
  </w:style>
  <w:style w:type="paragraph" w:styleId="905">
    <w:name w:val="Quote"/>
    <w:basedOn w:val="735"/>
    <w:link w:val="939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906" w:customStyle="1">
    <w:name w:val="Quote Char"/>
    <w:basedOn w:val="736"/>
    <w:link w:val="905"/>
    <w:uiPriority w:val="99"/>
    <w:rPr>
      <w:rFonts w:cs="Times New Roman"/>
      <w:i/>
    </w:rPr>
  </w:style>
  <w:style w:type="paragraph" w:styleId="907">
    <w:name w:val="Intense Quote"/>
    <w:basedOn w:val="735"/>
    <w:link w:val="940"/>
    <w:qFormat/>
    <w:uiPriority w:val="99"/>
    <w:rPr>
      <w:i/>
      <w:sz w:val="20"/>
      <w:szCs w:val="20"/>
      <w:lang w:val="uk-UA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8" w:customStyle="1">
    <w:name w:val="Intense Quote Char"/>
    <w:basedOn w:val="736"/>
    <w:link w:val="907"/>
    <w:uiPriority w:val="99"/>
    <w:rPr>
      <w:rFonts w:cs="Times New Roman"/>
      <w:i/>
    </w:rPr>
  </w:style>
  <w:style w:type="paragraph" w:styleId="909" w:customStyle="1">
    <w:name w:val="Верхний колонтитул11"/>
    <w:link w:val="91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0" w:customStyle="1">
    <w:name w:val="Header Char"/>
    <w:link w:val="909"/>
    <w:uiPriority w:val="99"/>
    <w:rPr>
      <w:sz w:val="22"/>
      <w:lang w:val="ru-RU" w:eastAsia="en-US"/>
    </w:rPr>
  </w:style>
  <w:style w:type="paragraph" w:styleId="911" w:customStyle="1">
    <w:name w:val="Нижний колонтитул11"/>
    <w:link w:val="912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912" w:customStyle="1">
    <w:name w:val="Footer Char"/>
    <w:link w:val="911"/>
    <w:uiPriority w:val="99"/>
    <w:rPr>
      <w:sz w:val="22"/>
      <w:lang w:val="ru-RU" w:eastAsia="en-US"/>
    </w:rPr>
  </w:style>
  <w:style w:type="table" w:styleId="913">
    <w:name w:val="Table Grid"/>
    <w:basedOn w:val="737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914">
    <w:name w:val="Hyperlink"/>
    <w:basedOn w:val="736"/>
    <w:uiPriority w:val="99"/>
    <w:rPr>
      <w:rFonts w:cs="Times New Roman"/>
      <w:color w:val="0000FF"/>
      <w:u w:val="single"/>
    </w:rPr>
  </w:style>
  <w:style w:type="paragraph" w:styleId="915">
    <w:name w:val="footnote text"/>
    <w:basedOn w:val="735"/>
    <w:link w:val="966"/>
    <w:uiPriority w:val="99"/>
    <w:semiHidden/>
    <w:rPr>
      <w:sz w:val="20"/>
      <w:szCs w:val="20"/>
      <w:lang w:eastAsia="ru-RU"/>
    </w:rPr>
    <w:pPr>
      <w:spacing w:after="40"/>
    </w:pPr>
  </w:style>
  <w:style w:type="character" w:styleId="916" w:customStyle="1">
    <w:name w:val="Footnote Text Char"/>
    <w:basedOn w:val="736"/>
    <w:link w:val="915"/>
    <w:uiPriority w:val="99"/>
    <w:rPr>
      <w:rFonts w:cs="Times New Roman"/>
      <w:sz w:val="18"/>
    </w:rPr>
  </w:style>
  <w:style w:type="character" w:styleId="917">
    <w:name w:val="footnote reference"/>
    <w:basedOn w:val="736"/>
    <w:uiPriority w:val="99"/>
    <w:rPr>
      <w:rFonts w:cs="Times New Roman"/>
      <w:vertAlign w:val="superscript"/>
    </w:rPr>
  </w:style>
  <w:style w:type="paragraph" w:styleId="918">
    <w:name w:val="toc 1"/>
    <w:basedOn w:val="735"/>
    <w:uiPriority w:val="99"/>
    <w:rPr>
      <w:lang w:val="uk-UA"/>
    </w:rPr>
    <w:pPr>
      <w:spacing w:after="57"/>
    </w:pPr>
  </w:style>
  <w:style w:type="paragraph" w:styleId="919">
    <w:name w:val="toc 2"/>
    <w:basedOn w:val="735"/>
    <w:uiPriority w:val="99"/>
    <w:rPr>
      <w:lang w:val="uk-UA"/>
    </w:rPr>
    <w:pPr>
      <w:ind w:left="283"/>
      <w:spacing w:after="57"/>
    </w:pPr>
  </w:style>
  <w:style w:type="paragraph" w:styleId="920">
    <w:name w:val="toc 3"/>
    <w:basedOn w:val="735"/>
    <w:uiPriority w:val="99"/>
    <w:rPr>
      <w:lang w:val="uk-UA"/>
    </w:rPr>
    <w:pPr>
      <w:ind w:left="567"/>
      <w:spacing w:after="57"/>
    </w:pPr>
  </w:style>
  <w:style w:type="paragraph" w:styleId="921">
    <w:name w:val="toc 4"/>
    <w:basedOn w:val="735"/>
    <w:uiPriority w:val="99"/>
    <w:rPr>
      <w:lang w:val="uk-UA"/>
    </w:rPr>
    <w:pPr>
      <w:ind w:left="850"/>
      <w:spacing w:after="57"/>
    </w:pPr>
  </w:style>
  <w:style w:type="paragraph" w:styleId="922">
    <w:name w:val="toc 5"/>
    <w:basedOn w:val="735"/>
    <w:uiPriority w:val="99"/>
    <w:rPr>
      <w:lang w:val="uk-UA"/>
    </w:rPr>
    <w:pPr>
      <w:ind w:left="1134"/>
      <w:spacing w:after="57"/>
    </w:pPr>
  </w:style>
  <w:style w:type="paragraph" w:styleId="923">
    <w:name w:val="toc 6"/>
    <w:basedOn w:val="735"/>
    <w:uiPriority w:val="99"/>
    <w:rPr>
      <w:lang w:val="uk-UA"/>
    </w:rPr>
    <w:pPr>
      <w:ind w:left="1417"/>
      <w:spacing w:after="57"/>
    </w:pPr>
  </w:style>
  <w:style w:type="paragraph" w:styleId="924">
    <w:name w:val="toc 7"/>
    <w:basedOn w:val="735"/>
    <w:uiPriority w:val="99"/>
    <w:rPr>
      <w:lang w:val="uk-UA"/>
    </w:rPr>
    <w:pPr>
      <w:ind w:left="1701"/>
      <w:spacing w:after="57"/>
    </w:pPr>
  </w:style>
  <w:style w:type="paragraph" w:styleId="925">
    <w:name w:val="toc 8"/>
    <w:basedOn w:val="735"/>
    <w:uiPriority w:val="99"/>
    <w:rPr>
      <w:lang w:val="uk-UA"/>
    </w:rPr>
    <w:pPr>
      <w:ind w:left="1984"/>
      <w:spacing w:after="57"/>
    </w:pPr>
  </w:style>
  <w:style w:type="paragraph" w:styleId="926">
    <w:name w:val="toc 9"/>
    <w:basedOn w:val="735"/>
    <w:uiPriority w:val="99"/>
    <w:rPr>
      <w:lang w:val="uk-UA"/>
    </w:rPr>
    <w:pPr>
      <w:ind w:left="2268"/>
      <w:spacing w:after="57"/>
    </w:pPr>
  </w:style>
  <w:style w:type="paragraph" w:styleId="927">
    <w:name w:val="TOC Heading"/>
    <w:basedOn w:val="741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28" w:customStyle="1">
    <w:name w:val="Заголовок 1 Знак"/>
    <w:link w:val="880"/>
    <w:uiPriority w:val="99"/>
    <w:rPr>
      <w:rFonts w:ascii="Arial" w:hAnsi="Arial"/>
      <w:sz w:val="40"/>
    </w:rPr>
  </w:style>
  <w:style w:type="character" w:styleId="929" w:customStyle="1">
    <w:name w:val="Заголовок 2 Знак"/>
    <w:link w:val="881"/>
    <w:uiPriority w:val="99"/>
    <w:rPr>
      <w:rFonts w:ascii="Arial" w:hAnsi="Arial"/>
      <w:sz w:val="34"/>
    </w:rPr>
  </w:style>
  <w:style w:type="character" w:styleId="930" w:customStyle="1">
    <w:name w:val="Заголовок 3 Знак"/>
    <w:link w:val="882"/>
    <w:uiPriority w:val="99"/>
    <w:rPr>
      <w:rFonts w:ascii="Arial" w:hAnsi="Arial"/>
      <w:sz w:val="30"/>
    </w:rPr>
  </w:style>
  <w:style w:type="character" w:styleId="931" w:customStyle="1">
    <w:name w:val="Заголовок 4 Знак"/>
    <w:link w:val="883"/>
    <w:uiPriority w:val="99"/>
    <w:rPr>
      <w:rFonts w:ascii="Arial" w:hAnsi="Arial"/>
      <w:b/>
      <w:sz w:val="26"/>
    </w:rPr>
  </w:style>
  <w:style w:type="character" w:styleId="932" w:customStyle="1">
    <w:name w:val="Заголовок 5 Знак"/>
    <w:link w:val="884"/>
    <w:uiPriority w:val="99"/>
    <w:rPr>
      <w:rFonts w:ascii="Arial" w:hAnsi="Arial"/>
      <w:b/>
      <w:sz w:val="22"/>
    </w:rPr>
  </w:style>
  <w:style w:type="character" w:styleId="933" w:customStyle="1">
    <w:name w:val="Заголовок 6 Знак"/>
    <w:link w:val="885"/>
    <w:uiPriority w:val="99"/>
    <w:rPr>
      <w:rFonts w:ascii="Arial" w:hAnsi="Arial"/>
      <w:b/>
      <w:sz w:val="22"/>
    </w:rPr>
  </w:style>
  <w:style w:type="character" w:styleId="934" w:customStyle="1">
    <w:name w:val="Заголовок 7 Знак"/>
    <w:link w:val="886"/>
    <w:uiPriority w:val="99"/>
    <w:rPr>
      <w:rFonts w:ascii="Arial" w:hAnsi="Arial"/>
      <w:b/>
      <w:i/>
      <w:sz w:val="22"/>
    </w:rPr>
  </w:style>
  <w:style w:type="character" w:styleId="935" w:customStyle="1">
    <w:name w:val="Заголовок 8 Знак"/>
    <w:link w:val="887"/>
    <w:uiPriority w:val="99"/>
    <w:rPr>
      <w:rFonts w:ascii="Arial" w:hAnsi="Arial"/>
      <w:i/>
      <w:sz w:val="22"/>
    </w:rPr>
  </w:style>
  <w:style w:type="character" w:styleId="936" w:customStyle="1">
    <w:name w:val="Заголовок 9 Знак"/>
    <w:link w:val="888"/>
    <w:uiPriority w:val="99"/>
    <w:rPr>
      <w:rFonts w:ascii="Arial" w:hAnsi="Arial"/>
      <w:i/>
      <w:sz w:val="22"/>
    </w:rPr>
  </w:style>
  <w:style w:type="character" w:styleId="937" w:customStyle="1">
    <w:name w:val="Название Знак"/>
    <w:link w:val="901"/>
    <w:uiPriority w:val="99"/>
    <w:rPr>
      <w:sz w:val="48"/>
    </w:rPr>
  </w:style>
  <w:style w:type="character" w:styleId="938" w:customStyle="1">
    <w:name w:val="Подзаголовок Знак"/>
    <w:link w:val="903"/>
    <w:uiPriority w:val="99"/>
    <w:rPr>
      <w:sz w:val="24"/>
    </w:rPr>
  </w:style>
  <w:style w:type="character" w:styleId="939" w:customStyle="1">
    <w:name w:val="Цитата 2 Знак"/>
    <w:link w:val="905"/>
    <w:uiPriority w:val="99"/>
    <w:rPr>
      <w:i/>
      <w:sz w:val="22"/>
      <w:lang w:val="uk-UA" w:eastAsia="en-US"/>
    </w:rPr>
  </w:style>
  <w:style w:type="character" w:styleId="940" w:customStyle="1">
    <w:name w:val="Выделенная цитата Знак"/>
    <w:link w:val="907"/>
    <w:uiPriority w:val="99"/>
    <w:rPr>
      <w:i/>
      <w:sz w:val="22"/>
      <w:shd w:val="clear" w:color="F2F2F2" w:fill="F2F2F2"/>
      <w:lang w:val="uk-UA" w:eastAsia="en-US"/>
    </w:rPr>
  </w:style>
  <w:style w:type="paragraph" w:styleId="941" w:customStyle="1">
    <w:name w:val="Верхний колонтитул2"/>
    <w:link w:val="94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2" w:customStyle="1">
    <w:name w:val="Верхний колонтитул Знак"/>
    <w:link w:val="941"/>
    <w:uiPriority w:val="99"/>
    <w:rPr>
      <w:sz w:val="22"/>
      <w:lang w:val="uk-UA" w:eastAsia="en-US"/>
    </w:rPr>
  </w:style>
  <w:style w:type="paragraph" w:styleId="943" w:customStyle="1">
    <w:name w:val="Нижний колонтитул2"/>
    <w:link w:val="944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44" w:customStyle="1">
    <w:name w:val="Нижний колонтитул Знак"/>
    <w:link w:val="943"/>
    <w:uiPriority w:val="99"/>
    <w:rPr>
      <w:sz w:val="22"/>
      <w:lang w:val="uk-UA" w:eastAsia="en-US"/>
    </w:rPr>
  </w:style>
  <w:style w:type="table" w:styleId="945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6" w:customStyle="1">
    <w:name w:val="Текст сноски Знак"/>
    <w:link w:val="915"/>
    <w:uiPriority w:val="99"/>
    <w:semiHidden/>
    <w:rPr>
      <w:sz w:val="22"/>
    </w:rPr>
  </w:style>
  <w:style w:type="paragraph" w:styleId="967" w:customStyle="1">
    <w:name w:val="Звичайний"/>
    <w:uiPriority w:val="99"/>
    <w:rPr>
      <w:sz w:val="24"/>
      <w:szCs w:val="24"/>
    </w:rPr>
  </w:style>
  <w:style w:type="character" w:styleId="968" w:customStyle="1">
    <w:name w:val="Шрифт абзацу за промовчанням"/>
    <w:uiPriority w:val="99"/>
    <w:semiHidden/>
  </w:style>
  <w:style w:type="table" w:styleId="969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0" w:customStyle="1">
    <w:name w:val="Стандартний HTML"/>
    <w:basedOn w:val="967"/>
    <w:link w:val="980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71" w:customStyle="1">
    <w:name w:val="Знак Знак Знак Знак Знак Знак Знак"/>
    <w:basedOn w:val="967"/>
    <w:uiPriority w:val="99"/>
    <w:rPr>
      <w:rFonts w:ascii="Verdana" w:hAnsi="Verdana"/>
      <w:sz w:val="20"/>
      <w:szCs w:val="20"/>
      <w:lang w:val="en-US" w:eastAsia="en-US"/>
    </w:rPr>
  </w:style>
  <w:style w:type="paragraph" w:styleId="972">
    <w:name w:val="Plain Text"/>
    <w:basedOn w:val="967"/>
    <w:link w:val="973"/>
    <w:uiPriority w:val="99"/>
    <w:rPr>
      <w:rFonts w:ascii="Courier New" w:hAnsi="Courier New"/>
      <w:sz w:val="20"/>
      <w:szCs w:val="20"/>
      <w:lang w:val="uk-UA"/>
    </w:rPr>
  </w:style>
  <w:style w:type="character" w:styleId="973" w:customStyle="1">
    <w:name w:val="Текст Знак"/>
    <w:basedOn w:val="736"/>
    <w:link w:val="972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74" w:customStyle="1">
    <w:name w:val="Верхній колонтитул"/>
    <w:basedOn w:val="967"/>
    <w:uiPriority w:val="99"/>
    <w:pPr>
      <w:tabs>
        <w:tab w:val="center" w:pos="4677" w:leader="none"/>
        <w:tab w:val="right" w:pos="9355" w:leader="none"/>
      </w:tabs>
    </w:pPr>
  </w:style>
  <w:style w:type="character" w:styleId="975" w:customStyle="1">
    <w:name w:val="Номер сторінки"/>
    <w:basedOn w:val="968"/>
    <w:uiPriority w:val="99"/>
    <w:rPr>
      <w:rFonts w:cs="Times New Roman"/>
    </w:rPr>
  </w:style>
  <w:style w:type="table" w:styleId="976" w:customStyle="1">
    <w:name w:val="Сітка таблиці"/>
    <w:basedOn w:val="969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7" w:customStyle="1">
    <w:name w:val="Нижній колонтитул"/>
    <w:basedOn w:val="967"/>
    <w:uiPriority w:val="99"/>
    <w:pPr>
      <w:tabs>
        <w:tab w:val="center" w:pos="4677" w:leader="none"/>
        <w:tab w:val="right" w:pos="9355" w:leader="none"/>
      </w:tabs>
    </w:pPr>
  </w:style>
  <w:style w:type="paragraph" w:styleId="978" w:customStyle="1">
    <w:name w:val="Основний текст з відступом 3"/>
    <w:basedOn w:val="967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79" w:customStyle="1">
    <w:name w:val="Основний текст з відступом"/>
    <w:basedOn w:val="967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80" w:customStyle="1">
    <w:name w:val="Стандартний HTML Знак"/>
    <w:link w:val="970"/>
    <w:uiPriority w:val="99"/>
    <w:rPr>
      <w:rFonts w:ascii="Courier New" w:hAnsi="Courier New"/>
      <w:lang w:val="ru-RU" w:eastAsia="ru-RU"/>
    </w:rPr>
  </w:style>
  <w:style w:type="paragraph" w:styleId="981" w:customStyle="1">
    <w:name w:val="Текст у виносці"/>
    <w:basedOn w:val="967"/>
    <w:link w:val="982"/>
    <w:uiPriority w:val="99"/>
    <w:rPr>
      <w:rFonts w:ascii="Segoe UI" w:hAnsi="Segoe UI"/>
      <w:sz w:val="18"/>
      <w:szCs w:val="20"/>
    </w:rPr>
  </w:style>
  <w:style w:type="character" w:styleId="982" w:customStyle="1">
    <w:name w:val="Текст у виносці Знак"/>
    <w:link w:val="981"/>
    <w:uiPriority w:val="99"/>
    <w:rPr>
      <w:rFonts w:ascii="Segoe UI" w:hAnsi="Segoe UI"/>
      <w:sz w:val="18"/>
      <w:lang w:val="ru-RU" w:eastAsia="ru-RU"/>
    </w:rPr>
  </w:style>
  <w:style w:type="character" w:styleId="983" w:customStyle="1">
    <w:name w:val="Виділення"/>
    <w:uiPriority w:val="99"/>
    <w:rPr>
      <w:i/>
    </w:rPr>
  </w:style>
  <w:style w:type="paragraph" w:styleId="984" w:customStyle="1">
    <w:name w:val="rvps17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5" w:customStyle="1">
    <w:name w:val="rvts23"/>
    <w:uiPriority w:val="99"/>
  </w:style>
  <w:style w:type="character" w:styleId="986" w:customStyle="1">
    <w:name w:val="rvts64"/>
    <w:uiPriority w:val="99"/>
  </w:style>
  <w:style w:type="paragraph" w:styleId="987" w:customStyle="1">
    <w:name w:val="rvps7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88" w:customStyle="1">
    <w:name w:val="rvts9"/>
    <w:uiPriority w:val="99"/>
  </w:style>
  <w:style w:type="paragraph" w:styleId="989" w:customStyle="1">
    <w:name w:val="rvps6"/>
    <w:basedOn w:val="967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90">
    <w:name w:val="Balloon Text"/>
    <w:basedOn w:val="735"/>
    <w:link w:val="991"/>
    <w:uiPriority w:val="99"/>
    <w:semiHidden/>
    <w:rPr>
      <w:rFonts w:ascii="Segoe UI" w:hAnsi="Segoe UI"/>
      <w:sz w:val="18"/>
      <w:szCs w:val="18"/>
      <w:lang w:eastAsia="ru-RU"/>
    </w:rPr>
  </w:style>
  <w:style w:type="character" w:styleId="991" w:customStyle="1">
    <w:name w:val="Текст выноски Знак"/>
    <w:basedOn w:val="736"/>
    <w:link w:val="990"/>
    <w:uiPriority w:val="99"/>
    <w:semiHidden/>
    <w:rPr>
      <w:rFonts w:ascii="Segoe UI" w:hAnsi="Segoe UI" w:cs="Times New Roman"/>
      <w:sz w:val="18"/>
    </w:rPr>
  </w:style>
  <w:style w:type="paragraph" w:styleId="992" w:customStyle="1">
    <w:name w:val="Header"/>
    <w:basedOn w:val="735"/>
    <w:link w:val="993"/>
    <w:uiPriority w:val="99"/>
    <w:pPr>
      <w:tabs>
        <w:tab w:val="center" w:pos="4677" w:leader="none"/>
        <w:tab w:val="right" w:pos="9355" w:leader="none"/>
      </w:tabs>
    </w:pPr>
  </w:style>
  <w:style w:type="character" w:styleId="993" w:customStyle="1">
    <w:name w:val="Header Char1"/>
    <w:basedOn w:val="736"/>
    <w:link w:val="992"/>
    <w:uiPriority w:val="99"/>
    <w:rPr>
      <w:rFonts w:cs="Times New Roman"/>
    </w:rPr>
  </w:style>
  <w:style w:type="paragraph" w:styleId="994" w:customStyle="1">
    <w:name w:val="Footer"/>
    <w:basedOn w:val="735"/>
    <w:link w:val="995"/>
    <w:uiPriority w:val="99"/>
    <w:pPr>
      <w:tabs>
        <w:tab w:val="center" w:pos="4677" w:leader="none"/>
        <w:tab w:val="right" w:pos="9355" w:leader="none"/>
      </w:tabs>
    </w:pPr>
  </w:style>
  <w:style w:type="character" w:styleId="995" w:customStyle="1">
    <w:name w:val="Footer Char1"/>
    <w:basedOn w:val="736"/>
    <w:link w:val="994"/>
    <w:uiPriority w:val="99"/>
    <w:rPr>
      <w:rFonts w:cs="Times New Roman"/>
    </w:rPr>
  </w:style>
  <w:style w:type="paragraph" w:styleId="996" w:customStyle="1">
    <w:name w:val="Heading 31"/>
    <w:basedOn w:val="735"/>
    <w:next w:val="735"/>
    <w:link w:val="997"/>
    <w:uiPriority w:val="99"/>
    <w:rPr>
      <w:rFonts w:ascii="Cambria" w:hAnsi="Cambria"/>
      <w:b/>
      <w:sz w:val="20"/>
      <w:szCs w:val="20"/>
      <w:lang w:val="uk-UA" w:eastAsia="ru-RU"/>
    </w:rPr>
    <w:pPr>
      <w:keepNext/>
      <w:spacing w:after="60" w:before="240"/>
      <w:outlineLvl w:val="2"/>
    </w:pPr>
  </w:style>
  <w:style w:type="character" w:styleId="997" w:customStyle="1">
    <w:name w:val="Heading 3 Char1"/>
    <w:link w:val="996"/>
    <w:uiPriority w:val="99"/>
    <w:rPr>
      <w:rFonts w:ascii="Cambria" w:hAnsi="Cambria"/>
      <w:b/>
      <w:sz w:val="20"/>
      <w:lang w:val="uk-UA" w:eastAsia="ru-RU"/>
    </w:rPr>
  </w:style>
  <w:style w:type="paragraph" w:styleId="998" w:customStyle="1">
    <w:name w:val="Без интервала1"/>
    <w:basedOn w:val="735"/>
    <w:uiPriority w:val="99"/>
    <w:rPr>
      <w:rFonts w:ascii="Calibri" w:hAnsi="Calibri"/>
      <w:sz w:val="24"/>
      <w:szCs w:val="32"/>
      <w:lang w:val="en-US"/>
    </w:rPr>
  </w:style>
  <w:style w:type="paragraph" w:styleId="999">
    <w:name w:val="Обычный"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221A91-4B3B-4707-BA2B-76014D99A87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EBBFAF0-F50F-4CFA-8B5C-6B41EA404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65</cp:revision>
  <dcterms:created xsi:type="dcterms:W3CDTF">2021-11-05T09:41:00Z</dcterms:created>
  <dcterms:modified xsi:type="dcterms:W3CDTF">2023-09-27T07:51:28Z</dcterms:modified>
</cp:coreProperties>
</file>