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25 вересня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584</w:t>
      </w:r>
      <w:r/>
    </w:p>
    <w:p>
      <w:pPr>
        <w:pStyle w:val="915"/>
        <w:tabs>
          <w:tab w:val="left" w:pos="4535" w:leader="none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  <w:r>
        <w:rPr>
          <w:sz w:val="10"/>
        </w:rPr>
      </w:r>
    </w:p>
    <w:p>
      <w:pPr>
        <w:pStyle w:val="915"/>
        <w:ind w:left="0" w:right="5244" w:firstLine="0"/>
        <w:jc w:val="both"/>
        <w:tabs>
          <w:tab w:val="left" w:pos="3685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915"/>
        <w:ind w:right="5130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</w:r>
      <w:r>
        <w:rPr>
          <w:sz w:val="12"/>
        </w:rPr>
      </w:r>
    </w:p>
    <w:p>
      <w:pPr>
        <w:pStyle w:val="91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проєктно-технічної</w:t>
      </w:r>
      <w:r>
        <w:rPr>
          <w:rFonts w:ascii="Times New Roman" w:hAnsi="Times New Roman"/>
          <w:sz w:val="28"/>
        </w:rPr>
        <w:t xml:space="preserve">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</w:t>
      </w:r>
      <w:r>
        <w:rPr>
          <w:rFonts w:ascii="Times New Roman" w:hAnsi="Times New Roman"/>
          <w:sz w:val="28"/>
          <w:szCs w:val="28"/>
        </w:rPr>
        <w:t xml:space="preserve"> КСГП Зоря» за межами с. </w:t>
      </w:r>
      <w:r>
        <w:rPr>
          <w:rFonts w:ascii="Times New Roman" w:hAnsi="Times New Roman"/>
          <w:sz w:val="28"/>
          <w:szCs w:val="28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КСП «Шлях Жовтня» за межами с. Слобідка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КСП «Праця» за межами с. Стольне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КСП “Полісся” за межами с. Синявка,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15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Семенівка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16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Сентищевій</w:t>
      </w:r>
      <w:r>
        <w:rPr>
          <w:color w:val="000000" w:themeColor="text1"/>
          <w:sz w:val="28"/>
          <w:szCs w:val="28"/>
          <w:lang w:val="uk-UA"/>
        </w:rPr>
        <w:t xml:space="preserve"> Надії Іванівні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223090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05</w:t>
      </w:r>
      <w:r>
        <w:rPr>
          <w:color w:val="000000" w:themeColor="text1"/>
          <w:sz w:val="28"/>
        </w:rPr>
        <w:t xml:space="preserve">.</w:t>
      </w:r>
      <w:r>
        <w:rPr>
          <w:color w:val="000000" w:themeColor="text1"/>
          <w:sz w:val="28"/>
          <w:lang w:val="uk-UA"/>
        </w:rPr>
        <w:t xml:space="preserve">09</w:t>
      </w:r>
      <w:r>
        <w:rPr>
          <w:color w:val="000000" w:themeColor="text1"/>
          <w:sz w:val="28"/>
        </w:rPr>
        <w:t xml:space="preserve">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№1</w:t>
      </w:r>
      <w:r>
        <w:rPr>
          <w:color w:val="000000" w:themeColor="text1"/>
          <w:sz w:val="28"/>
          <w:lang w:val="uk-UA"/>
        </w:rPr>
        <w:t xml:space="preserve">735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  <w:lang w:val="uk-UA"/>
        </w:rPr>
        <w:t xml:space="preserve">20</w:t>
      </w:r>
      <w:r>
        <w:rPr>
          <w:color w:val="000000" w:themeColor="text1"/>
          <w:sz w:val="28"/>
        </w:rPr>
        <w:t xml:space="preserve">/20</w:t>
      </w:r>
      <w:r>
        <w:rPr>
          <w:color w:val="000000" w:themeColor="text1"/>
          <w:sz w:val="28"/>
          <w:lang w:val="uk-UA"/>
        </w:rPr>
        <w:t xml:space="preserve">20</w:t>
      </w:r>
      <w:r>
        <w:rPr>
          <w:color w:val="000000" w:themeColor="text1"/>
          <w:sz w:val="28"/>
        </w:rPr>
        <w:t xml:space="preserve">;</w:t>
      </w:r>
      <w:r/>
    </w:p>
    <w:p>
      <w:pPr>
        <w:pStyle w:val="915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Слобідка:</w:t>
      </w:r>
      <w:r/>
    </w:p>
    <w:p>
      <w:pPr>
        <w:pStyle w:val="916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Федоренко</w:t>
      </w:r>
      <w:r>
        <w:rPr>
          <w:color w:val="000000" w:themeColor="text1"/>
          <w:sz w:val="28"/>
          <w:szCs w:val="28"/>
          <w:lang w:val="uk-UA"/>
        </w:rPr>
        <w:t xml:space="preserve"> Світлані Валентинівні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095840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11</w:t>
      </w:r>
      <w:r>
        <w:rPr>
          <w:color w:val="000000" w:themeColor="text1"/>
          <w:sz w:val="28"/>
        </w:rPr>
        <w:t xml:space="preserve">.</w:t>
      </w:r>
      <w:r>
        <w:rPr>
          <w:color w:val="000000" w:themeColor="text1"/>
          <w:sz w:val="28"/>
          <w:lang w:val="uk-UA"/>
        </w:rPr>
        <w:t xml:space="preserve">09</w:t>
      </w:r>
      <w:r>
        <w:rPr>
          <w:color w:val="000000" w:themeColor="text1"/>
          <w:sz w:val="28"/>
        </w:rPr>
        <w:t xml:space="preserve">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№1</w:t>
      </w:r>
      <w:r>
        <w:rPr>
          <w:color w:val="000000" w:themeColor="text1"/>
          <w:sz w:val="28"/>
          <w:lang w:val="uk-UA"/>
        </w:rPr>
        <w:t xml:space="preserve">921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  <w:lang w:val="uk-UA"/>
        </w:rPr>
        <w:t xml:space="preserve">94</w:t>
      </w:r>
      <w:r>
        <w:rPr>
          <w:color w:val="000000" w:themeColor="text1"/>
          <w:sz w:val="28"/>
        </w:rPr>
        <w:t xml:space="preserve">/20</w:t>
      </w:r>
      <w:r>
        <w:rPr>
          <w:color w:val="000000" w:themeColor="text1"/>
          <w:sz w:val="28"/>
          <w:lang w:val="uk-UA"/>
        </w:rPr>
        <w:t xml:space="preserve">23</w:t>
      </w:r>
      <w:r>
        <w:rPr>
          <w:color w:val="000000" w:themeColor="text1"/>
          <w:sz w:val="28"/>
        </w:rPr>
        <w:t xml:space="preserve">;</w:t>
      </w:r>
      <w:r/>
    </w:p>
    <w:p>
      <w:pPr>
        <w:pStyle w:val="915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Стольне:</w:t>
      </w:r>
      <w:r/>
    </w:p>
    <w:p>
      <w:pPr>
        <w:pStyle w:val="916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Василець</w:t>
      </w:r>
      <w:r>
        <w:rPr>
          <w:color w:val="000000" w:themeColor="text1"/>
          <w:sz w:val="28"/>
          <w:szCs w:val="28"/>
          <w:lang w:val="uk-UA"/>
        </w:rPr>
        <w:t xml:space="preserve"> Валентині Михайлівні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268386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01</w:t>
      </w:r>
      <w:r>
        <w:rPr>
          <w:color w:val="000000" w:themeColor="text1"/>
          <w:sz w:val="28"/>
        </w:rPr>
        <w:t xml:space="preserve">.</w:t>
      </w:r>
      <w:r>
        <w:rPr>
          <w:color w:val="000000" w:themeColor="text1"/>
          <w:sz w:val="28"/>
          <w:lang w:val="uk-UA"/>
        </w:rPr>
        <w:t xml:space="preserve">09</w:t>
      </w:r>
      <w:r>
        <w:rPr>
          <w:color w:val="000000" w:themeColor="text1"/>
          <w:sz w:val="28"/>
        </w:rPr>
        <w:t xml:space="preserve">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№1</w:t>
      </w:r>
      <w:r>
        <w:rPr>
          <w:color w:val="000000" w:themeColor="text1"/>
          <w:sz w:val="28"/>
          <w:lang w:val="uk-UA"/>
        </w:rPr>
        <w:t xml:space="preserve">837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  <w:lang w:val="uk-UA"/>
        </w:rPr>
        <w:t xml:space="preserve">91</w:t>
      </w:r>
      <w:r>
        <w:rPr>
          <w:color w:val="000000" w:themeColor="text1"/>
          <w:sz w:val="28"/>
        </w:rPr>
        <w:t xml:space="preserve">/20</w:t>
      </w:r>
      <w:r>
        <w:rPr>
          <w:color w:val="000000" w:themeColor="text1"/>
          <w:sz w:val="28"/>
          <w:lang w:val="uk-UA"/>
        </w:rPr>
        <w:t xml:space="preserve">23;</w:t>
      </w:r>
      <w:r/>
    </w:p>
    <w:p>
      <w:pPr>
        <w:pStyle w:val="915"/>
        <w:ind w:left="7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Синявка: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16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highlight w:val="none"/>
          <w:lang w:val="uk-UA"/>
        </w:rPr>
        <w:t xml:space="preserve">Лозовому Олександру Миколайовичу - ЧН №0269402 -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заповітом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18.</w:t>
      </w:r>
      <w:r>
        <w:rPr>
          <w:color w:val="000000" w:themeColor="text1"/>
          <w:sz w:val="28"/>
        </w:rPr>
        <w:t xml:space="preserve">11.2004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№5062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</w:rPr>
        <w:t xml:space="preserve">578 за 19.08.2004</w:t>
      </w:r>
      <w:r>
        <w:rPr>
          <w:color w:val="000000" w:themeColor="text1"/>
          <w:sz w:val="28"/>
          <w:highlight w:val="none"/>
          <w:lang w:val="uk-UA"/>
        </w:rPr>
        <w:t xml:space="preserve">.</w:t>
      </w:r>
      <w:r>
        <w:rPr>
          <w:color w:val="000000" w:themeColor="text1"/>
          <w:sz w:val="28"/>
          <w:highlight w:val="none"/>
          <w:lang w:val="uk-UA"/>
        </w:rPr>
      </w:r>
      <w:r/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  <w:r>
        <w:rPr>
          <w:rFonts w:ascii="Times New Roman" w:hAnsi="Times New Roman"/>
          <w:sz w:val="28"/>
          <w:szCs w:val="28"/>
          <w:lang w:eastAsia="uk-UA"/>
        </w:rPr>
      </w:r>
      <w:r/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5"/>
        <w:jc w:val="both"/>
        <w:spacing w:before="244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jc w:val="center"/>
    </w:pPr>
    <w:fldSimple w:instr="PAGE \* MERGEFORMAT">
      <w:r>
        <w:t xml:space="preserve">1</w:t>
      </w:r>
    </w:fldSimple>
    <w:r/>
    <w:r/>
  </w:p>
  <w:p>
    <w:pPr>
      <w:pStyle w:val="7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 w:default="1">
    <w:name w:val="Normal"/>
    <w:qFormat/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 w:customStyle="1">
    <w:name w:val="Heading 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0" w:customStyle="1">
    <w:name w:val="Heading 2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1" w:customStyle="1">
    <w:name w:val="Heading 3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2" w:customStyle="1">
    <w:name w:val="Heading 4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3" w:customStyle="1">
    <w:name w:val="Heading 5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4" w:customStyle="1">
    <w:name w:val="Heading 6"/>
    <w:link w:val="7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5" w:customStyle="1">
    <w:name w:val="Heading 7"/>
    <w:link w:val="7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6" w:customStyle="1">
    <w:name w:val="Heading 8"/>
    <w:link w:val="7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7" w:customStyle="1">
    <w:name w:val="Heading 9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1 Char"/>
    <w:basedOn w:val="716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Heading 2 Char"/>
    <w:basedOn w:val="716"/>
    <w:uiPriority w:val="9"/>
    <w:rPr>
      <w:rFonts w:ascii="Arial" w:hAnsi="Arial" w:cs="Arial" w:eastAsia="Arial"/>
      <w:sz w:val="34"/>
    </w:rPr>
  </w:style>
  <w:style w:type="character" w:styleId="730" w:customStyle="1">
    <w:name w:val="Heading 3 Char"/>
    <w:basedOn w:val="716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Heading 4 Char"/>
    <w:basedOn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Heading 5 Char"/>
    <w:basedOn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Heading 6 Char"/>
    <w:basedOn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Heading 7 Char"/>
    <w:basedOn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Heading 8 Char"/>
    <w:basedOn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Heading 9 Char"/>
    <w:basedOn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37" w:customStyle="1">
    <w:name w:val="Title Char"/>
    <w:basedOn w:val="716"/>
    <w:uiPriority w:val="10"/>
    <w:rPr>
      <w:sz w:val="48"/>
      <w:szCs w:val="48"/>
    </w:rPr>
  </w:style>
  <w:style w:type="character" w:styleId="738" w:customStyle="1">
    <w:name w:val="Subtitle Char"/>
    <w:basedOn w:val="716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Footnote Text Char"/>
    <w:uiPriority w:val="99"/>
    <w:rPr>
      <w:sz w:val="18"/>
    </w:rPr>
  </w:style>
  <w:style w:type="character" w:styleId="742" w:customStyle="1">
    <w:name w:val="Endnote Text Char"/>
    <w:uiPriority w:val="99"/>
    <w:rPr>
      <w:sz w:val="20"/>
    </w:rPr>
  </w:style>
  <w:style w:type="character" w:styleId="743" w:customStyle="1">
    <w:name w:val="Заголовок 1 Знак"/>
    <w:link w:val="719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Заголовок 2 Знак"/>
    <w:link w:val="720"/>
    <w:uiPriority w:val="9"/>
    <w:rPr>
      <w:rFonts w:ascii="Arial" w:hAnsi="Arial" w:cs="Arial" w:eastAsia="Arial"/>
      <w:sz w:val="34"/>
    </w:rPr>
  </w:style>
  <w:style w:type="character" w:styleId="745" w:customStyle="1">
    <w:name w:val="Заголовок 3 Знак"/>
    <w:link w:val="721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Заголовок 4 Знак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Заголовок 5 Знак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Заголовок 6 Знак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Заголовок 7 Знак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Заголовок 9 Знак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List Paragraph"/>
    <w:qFormat/>
    <w:uiPriority w:val="34"/>
    <w:pPr>
      <w:contextualSpacing w:val="true"/>
      <w:ind w:left="720"/>
    </w:pPr>
  </w:style>
  <w:style w:type="paragraph" w:styleId="753">
    <w:name w:val="No Spacing"/>
    <w:qFormat/>
    <w:uiPriority w:val="1"/>
  </w:style>
  <w:style w:type="paragraph" w:styleId="754">
    <w:name w:val="Title"/>
    <w:link w:val="7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5" w:customStyle="1">
    <w:name w:val="Название Знак"/>
    <w:link w:val="754"/>
    <w:uiPriority w:val="10"/>
    <w:rPr>
      <w:sz w:val="48"/>
      <w:szCs w:val="48"/>
    </w:rPr>
  </w:style>
  <w:style w:type="paragraph" w:styleId="756">
    <w:name w:val="Subtitle"/>
    <w:link w:val="757"/>
    <w:qFormat/>
    <w:uiPriority w:val="11"/>
    <w:rPr>
      <w:sz w:val="24"/>
      <w:szCs w:val="24"/>
    </w:rPr>
    <w:pPr>
      <w:spacing w:after="200" w:before="200"/>
    </w:pPr>
  </w:style>
  <w:style w:type="character" w:styleId="757" w:customStyle="1">
    <w:name w:val="Подзаголовок Знак"/>
    <w:link w:val="756"/>
    <w:uiPriority w:val="11"/>
    <w:rPr>
      <w:sz w:val="24"/>
      <w:szCs w:val="24"/>
    </w:rPr>
  </w:style>
  <w:style w:type="paragraph" w:styleId="758">
    <w:name w:val="Quote"/>
    <w:link w:val="759"/>
    <w:qFormat/>
    <w:uiPriority w:val="29"/>
    <w:rPr>
      <w:i/>
    </w:rPr>
    <w:pPr>
      <w:ind w:left="720" w:right="720"/>
    </w:pPr>
  </w:style>
  <w:style w:type="character" w:styleId="759" w:customStyle="1">
    <w:name w:val="Цитата 2 Знак"/>
    <w:link w:val="758"/>
    <w:uiPriority w:val="29"/>
    <w:rPr>
      <w:i/>
    </w:rPr>
  </w:style>
  <w:style w:type="paragraph" w:styleId="760">
    <w:name w:val="Intense Quote"/>
    <w:link w:val="7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Выделенная цитата Знак"/>
    <w:link w:val="760"/>
    <w:uiPriority w:val="30"/>
    <w:rPr>
      <w:i/>
    </w:rPr>
  </w:style>
  <w:style w:type="paragraph" w:styleId="762" w:customStyle="1">
    <w:name w:val="Header"/>
    <w:basedOn w:val="715"/>
    <w:link w:val="912"/>
    <w:pPr>
      <w:tabs>
        <w:tab w:val="center" w:pos="4677" w:leader="none"/>
        <w:tab w:val="right" w:pos="9355" w:leader="none"/>
      </w:tabs>
    </w:pPr>
  </w:style>
  <w:style w:type="character" w:styleId="763" w:customStyle="1">
    <w:name w:val="Header Char"/>
    <w:uiPriority w:val="99"/>
  </w:style>
  <w:style w:type="paragraph" w:styleId="764" w:customStyle="1">
    <w:name w:val="Footer"/>
    <w:basedOn w:val="715"/>
    <w:link w:val="913"/>
    <w:pPr>
      <w:tabs>
        <w:tab w:val="center" w:pos="4677" w:leader="none"/>
        <w:tab w:val="right" w:pos="9355" w:leader="none"/>
      </w:tabs>
    </w:pPr>
  </w:style>
  <w:style w:type="character" w:styleId="765" w:customStyle="1">
    <w:name w:val="Footer Char"/>
    <w:uiPriority w:val="99"/>
  </w:style>
  <w:style w:type="paragraph" w:styleId="76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7" w:customStyle="1">
    <w:name w:val="Caption Char"/>
    <w:uiPriority w:val="99"/>
  </w:style>
  <w:style w:type="table" w:styleId="76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4">
    <w:name w:val="Hyperlink"/>
    <w:rPr>
      <w:color w:val="0563C1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link w:val="899"/>
    <w:uiPriority w:val="99"/>
    <w:semiHidden/>
    <w:unhideWhenUsed/>
  </w:style>
  <w:style w:type="character" w:styleId="899" w:customStyle="1">
    <w:name w:val="Текст концевой сноски Знак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uiPriority w:val="39"/>
    <w:unhideWhenUsed/>
    <w:pPr>
      <w:spacing w:after="57"/>
    </w:pPr>
  </w:style>
  <w:style w:type="paragraph" w:styleId="902">
    <w:name w:val="toc 2"/>
    <w:uiPriority w:val="39"/>
    <w:unhideWhenUsed/>
    <w:pPr>
      <w:ind w:left="283"/>
      <w:spacing w:after="57"/>
    </w:pPr>
  </w:style>
  <w:style w:type="paragraph" w:styleId="903">
    <w:name w:val="toc 3"/>
    <w:uiPriority w:val="39"/>
    <w:unhideWhenUsed/>
    <w:pPr>
      <w:ind w:left="567"/>
      <w:spacing w:after="57"/>
    </w:pPr>
  </w:style>
  <w:style w:type="paragraph" w:styleId="904">
    <w:name w:val="toc 4"/>
    <w:uiPriority w:val="39"/>
    <w:unhideWhenUsed/>
    <w:pPr>
      <w:ind w:left="850"/>
      <w:spacing w:after="57"/>
    </w:pPr>
  </w:style>
  <w:style w:type="paragraph" w:styleId="905">
    <w:name w:val="toc 5"/>
    <w:uiPriority w:val="39"/>
    <w:unhideWhenUsed/>
    <w:pPr>
      <w:ind w:left="1134"/>
      <w:spacing w:after="57"/>
    </w:pPr>
  </w:style>
  <w:style w:type="paragraph" w:styleId="906">
    <w:name w:val="toc 6"/>
    <w:uiPriority w:val="39"/>
    <w:unhideWhenUsed/>
    <w:pPr>
      <w:ind w:left="1417"/>
      <w:spacing w:after="57"/>
    </w:pPr>
  </w:style>
  <w:style w:type="paragraph" w:styleId="907">
    <w:name w:val="toc 7"/>
    <w:uiPriority w:val="39"/>
    <w:unhideWhenUsed/>
    <w:pPr>
      <w:ind w:left="1701"/>
      <w:spacing w:after="57"/>
    </w:pPr>
  </w:style>
  <w:style w:type="paragraph" w:styleId="908">
    <w:name w:val="toc 8"/>
    <w:uiPriority w:val="39"/>
    <w:unhideWhenUsed/>
    <w:pPr>
      <w:ind w:left="1984"/>
      <w:spacing w:after="57"/>
    </w:pPr>
  </w:style>
  <w:style w:type="paragraph" w:styleId="909">
    <w:name w:val="toc 9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uiPriority w:val="99"/>
    <w:unhideWhenUsed/>
  </w:style>
  <w:style w:type="character" w:styleId="912" w:customStyle="1">
    <w:name w:val="Верхний колонтитул Знак"/>
    <w:link w:val="762"/>
    <w:rPr>
      <w:rFonts w:ascii="Calibri" w:hAnsi="Calibri"/>
      <w:sz w:val="22"/>
      <w:szCs w:val="22"/>
      <w:lang w:eastAsia="en-US"/>
    </w:rPr>
  </w:style>
  <w:style w:type="character" w:styleId="913" w:customStyle="1">
    <w:name w:val="Нижний колонтитул Знак"/>
    <w:link w:val="764"/>
    <w:rPr>
      <w:rFonts w:ascii="Calibri" w:hAnsi="Calibri"/>
      <w:sz w:val="22"/>
      <w:szCs w:val="22"/>
      <w:lang w:eastAsia="en-US"/>
    </w:rPr>
  </w:style>
  <w:style w:type="paragraph" w:styleId="914" w:customStyle="1">
    <w:name w:val="Без интервала1"/>
    <w:rPr>
      <w:lang w:val="ru-RU"/>
    </w:rPr>
  </w:style>
  <w:style w:type="paragraph" w:styleId="91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6" w:customStyle="1">
    <w:name w:val="docdata"/>
    <w:basedOn w:val="715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61</cp:revision>
  <dcterms:created xsi:type="dcterms:W3CDTF">2022-09-09T06:05:00Z</dcterms:created>
  <dcterms:modified xsi:type="dcterms:W3CDTF">2023-09-26T16:02:45Z</dcterms:modified>
</cp:coreProperties>
</file>