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4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734"/>
        <w:jc w:val="center"/>
        <w:rPr>
          <w:rFonts w:ascii="Times New Roman" w:hAnsi="Times New Roman"/>
          <w:b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34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714"/>
        <w:jc w:val="center"/>
        <w:spacing w:after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>
        <w:rPr>
          <w:b/>
        </w:rPr>
      </w:r>
      <w:r/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8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серпня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341</w:t>
      </w:r>
      <w:r/>
    </w:p>
    <w:p>
      <w:pPr>
        <w:pStyle w:val="888"/>
        <w:spacing w:after="0" w:afterAutospacing="0" w:before="0" w:beforeAutospacing="0"/>
        <w:rPr>
          <w:sz w:val="28"/>
          <w:szCs w:val="28"/>
        </w:rPr>
      </w:pPr>
      <w:r>
        <w:rPr>
          <w:sz w:val="20"/>
        </w:rPr>
        <w:t xml:space="preserve"> </w:t>
      </w:r>
      <w:r/>
    </w:p>
    <w:p>
      <w:pPr>
        <w:ind w:right="5527"/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Про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затвердження посадової інструкції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відповідальн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ого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 за ведення військового 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обл</w:t>
      </w: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іку</w:t>
      </w:r>
      <w:r/>
    </w:p>
    <w:p>
      <w:pPr>
        <w:spacing w:lineRule="auto" w:line="240" w:after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734"/>
        <w:ind w:firstLine="709"/>
        <w:jc w:val="both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pacing w:val="10"/>
          <w:sz w:val="28"/>
          <w:szCs w:val="28"/>
          <w:lang w:eastAsia="uk-UA"/>
        </w:rPr>
        <w:t xml:space="preserve">Законів України «Про військовий обов'язок і військову службу», «Про мобілізаційну підготовку та мобілізацію»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останови Кабінету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Міністрів України 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від 30 грудня 2022 р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оку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№ 1487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Про затвердження Порядку 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», з метою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належної організації роботи відповідальних за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ведення військового обліку призовників, військовозобов’язаних та резервістів</w:t>
      </w:r>
      <w:r>
        <w:rPr>
          <w:color w:val="333333"/>
          <w:shd w:val="clear" w:fill="FFFFFF" w:color="auto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населених пунктах Менської міської територіальної громади, керуючись ст. 42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Закону України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місцеве самоврядування в Україні»:</w:t>
      </w:r>
      <w:r/>
    </w:p>
    <w:p>
      <w:pPr>
        <w:pStyle w:val="73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Затвердити Посадову інструкцію</w:t>
      </w:r>
      <w:r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за ведення військового обліку призовників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військовозобов’язаних</w:t>
      </w:r>
      <w:r>
        <w:rPr>
          <w:rFonts w:ascii="Times New Roman" w:hAnsi="Times New Roman"/>
          <w:sz w:val="28"/>
          <w:szCs w:val="28"/>
        </w:rPr>
        <w:t xml:space="preserve"> та резервістів</w:t>
      </w:r>
      <w:r>
        <w:rPr>
          <w:rFonts w:ascii="Times New Roman" w:hAnsi="Times New Roman"/>
          <w:sz w:val="28"/>
          <w:szCs w:val="28"/>
        </w:rPr>
        <w:t xml:space="preserve"> в населених пунктах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округ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територіальної громади старост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згідно додатку.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Гаєвого С.М.</w:t>
      </w:r>
      <w:r/>
    </w:p>
    <w:p>
      <w:pPr>
        <w:pStyle w:val="88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8"/>
        <w:ind w:left="5387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Затверджено</w:t>
      </w:r>
      <w:r/>
    </w:p>
    <w:p>
      <w:pPr>
        <w:pStyle w:val="888"/>
        <w:ind w:left="5387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розпорядження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міського голови</w:t>
      </w:r>
      <w:r/>
    </w:p>
    <w:p>
      <w:pPr>
        <w:pStyle w:val="888"/>
        <w:ind w:left="5387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серпня 2023 року № 341</w:t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Посадова інструкція відповідальн</w:t>
      </w:r>
      <w:r>
        <w:rPr>
          <w:rFonts w:ascii="Times New Roman" w:hAnsi="Times New Roman"/>
          <w:b/>
          <w:sz w:val="28"/>
          <w:szCs w:val="28"/>
        </w:rPr>
        <w:t xml:space="preserve">ого</w:t>
      </w:r>
      <w:r>
        <w:rPr>
          <w:rFonts w:ascii="Times New Roman" w:hAnsi="Times New Roman"/>
          <w:b/>
          <w:sz w:val="28"/>
          <w:szCs w:val="28"/>
        </w:rPr>
        <w:t xml:space="preserve"> за ведення військового обліку призовників, військовозобов’язаних та резервістів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населених пунктах </w:t>
      </w:r>
      <w:r>
        <w:rPr>
          <w:rFonts w:ascii="Times New Roman" w:hAnsi="Times New Roman"/>
          <w:b/>
          <w:sz w:val="28"/>
          <w:szCs w:val="28"/>
        </w:rPr>
        <w:t xml:space="preserve">__________________________ </w:t>
      </w:r>
      <w:r>
        <w:rPr>
          <w:rFonts w:ascii="Times New Roman" w:hAnsi="Times New Roman"/>
          <w:b/>
          <w:sz w:val="28"/>
          <w:szCs w:val="28"/>
        </w:rPr>
        <w:t xml:space="preserve">старостинськ</w:t>
      </w:r>
      <w:r>
        <w:rPr>
          <w:rFonts w:ascii="Times New Roman" w:hAnsi="Times New Roman"/>
          <w:b/>
          <w:sz w:val="28"/>
          <w:szCs w:val="28"/>
        </w:rPr>
        <w:t xml:space="preserve">ого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 Менської міської територіальної громади 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старост</w:t>
      </w:r>
      <w:r>
        <w:rPr>
          <w:rFonts w:ascii="Times New Roman" w:hAnsi="Times New Roman"/>
          <w:b/>
          <w:sz w:val="28"/>
          <w:szCs w:val="28"/>
        </w:rPr>
        <w:t xml:space="preserve">и 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старостинськ</w:t>
      </w:r>
      <w:r>
        <w:rPr>
          <w:rFonts w:ascii="Times New Roman" w:hAnsi="Times New Roman"/>
          <w:b/>
          <w:sz w:val="28"/>
          <w:szCs w:val="28"/>
        </w:rPr>
        <w:t xml:space="preserve">ого</w:t>
      </w:r>
      <w:r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/>
    </w:p>
    <w:p>
      <w:pPr>
        <w:pStyle w:val="888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numPr>
          <w:ilvl w:val="0"/>
          <w:numId w:val="3"/>
        </w:numPr>
        <w:ind w:left="0" w:firstLine="0"/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Загальні положення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ідповідальни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за ведення військового обліку призовників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військовозобов’язаних</w:t>
      </w:r>
      <w:r>
        <w:rPr>
          <w:rFonts w:ascii="Times New Roman" w:hAnsi="Times New Roman"/>
          <w:sz w:val="28"/>
          <w:szCs w:val="28"/>
        </w:rPr>
        <w:t xml:space="preserve"> та резервістів</w:t>
      </w:r>
      <w:r>
        <w:rPr>
          <w:rFonts w:ascii="Times New Roman" w:hAnsi="Times New Roman"/>
          <w:sz w:val="28"/>
          <w:szCs w:val="28"/>
        </w:rPr>
        <w:t xml:space="preserve"> в населених пунктах </w:t>
      </w:r>
      <w:r>
        <w:rPr>
          <w:rFonts w:ascii="Times New Roman" w:hAnsi="Times New Roman"/>
          <w:sz w:val="28"/>
          <w:szCs w:val="28"/>
        </w:rPr>
        <w:t xml:space="preserve">старостинського округу </w:t>
      </w:r>
      <w:r>
        <w:rPr>
          <w:rFonts w:ascii="Times New Roman" w:hAnsi="Times New Roman"/>
          <w:sz w:val="28"/>
          <w:szCs w:val="28"/>
        </w:rPr>
        <w:t xml:space="preserve">Менської міської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далі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—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Відповідальний            за ВВО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визначається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розпорядженням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1.2. Відповідальним за ведення </w:t>
      </w:r>
      <w:r>
        <w:rPr>
          <w:rFonts w:ascii="Times New Roman" w:hAnsi="Times New Roman"/>
          <w:sz w:val="28"/>
          <w:szCs w:val="28"/>
        </w:rPr>
        <w:t xml:space="preserve">військового обліку призовників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військовозобов’язаних</w:t>
      </w:r>
      <w:r>
        <w:rPr>
          <w:rFonts w:ascii="Times New Roman" w:hAnsi="Times New Roman"/>
          <w:sz w:val="28"/>
          <w:szCs w:val="28"/>
        </w:rPr>
        <w:t xml:space="preserve"> та резервістів</w:t>
      </w:r>
      <w:r>
        <w:rPr>
          <w:rFonts w:ascii="Times New Roman" w:hAnsi="Times New Roman"/>
          <w:sz w:val="28"/>
          <w:szCs w:val="28"/>
        </w:rPr>
        <w:t xml:space="preserve"> в населених пунктах </w:t>
      </w:r>
      <w:r>
        <w:rPr>
          <w:rFonts w:ascii="Times New Roman" w:hAnsi="Times New Roman"/>
          <w:sz w:val="28"/>
          <w:szCs w:val="28"/>
        </w:rPr>
        <w:t xml:space="preserve">відповідного старостинського округу </w:t>
      </w:r>
      <w:r>
        <w:rPr>
          <w:rFonts w:ascii="Times New Roman" w:hAnsi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є староста даного старостинського округу або посадова особа, на яку покладено виконання обов’язків старости.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Відповідальний за ВВО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повинен знати: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— правила документообігу і технологію опрацювання облікової інформації;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— нормат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ивно-правові акти щодо організації та ведення військової обліку призовників, військовозобов’язаних та резервістів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 т.ч. Порядок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організації та ведення військового обліку призовників, військовозобов’язаних та резервістів, затверджений постановою 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Кабінету Міністрів України від 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            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30 грудня 2022 р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оку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№ 1487</w:t>
      </w:r>
      <w:r>
        <w:rPr>
          <w:rStyle w:val="892"/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 (далі – Порядок)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— наявність військовозобов’язаних за їх складом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території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старостинського округу.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pStyle w:val="733"/>
        <w:numPr>
          <w:ilvl w:val="0"/>
          <w:numId w:val="3"/>
        </w:numPr>
        <w:ind w:left="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Завдання та обов’язки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.1.</w:t>
      </w:r>
      <w:r>
        <w:rPr>
          <w:sz w:val="28"/>
          <w:szCs w:val="28"/>
          <w:lang w:val="uk-UA"/>
        </w:rPr>
        <w:t xml:space="preserve"> З метою забезпечення персонально-первинного військового обліку </w:t>
      </w:r>
      <w:r>
        <w:rPr>
          <w:sz w:val="28"/>
          <w:szCs w:val="28"/>
          <w:lang w:val="uk-UA"/>
        </w:rPr>
        <w:t xml:space="preserve">відповідальний за ВВО</w:t>
      </w:r>
      <w:r>
        <w:rPr>
          <w:sz w:val="28"/>
          <w:szCs w:val="28"/>
          <w:lang w:val="uk-UA"/>
        </w:rPr>
        <w:t xml:space="preserve"> здійсню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0" w:name="n101"/>
      <w:r/>
      <w:bookmarkEnd w:id="0"/>
      <w:r>
        <w:rPr>
          <w:sz w:val="28"/>
          <w:szCs w:val="28"/>
          <w:lang w:val="uk-UA"/>
        </w:rPr>
        <w:t xml:space="preserve">1) взяття на персонально-первинний військовий облік громадян, які прибули на нове місце проживання до </w:t>
      </w:r>
      <w:r>
        <w:rPr>
          <w:sz w:val="28"/>
          <w:szCs w:val="28"/>
          <w:lang w:val="uk-UA"/>
        </w:rPr>
        <w:t xml:space="preserve">населеного пункту відповідного старостинського округу</w:t>
      </w:r>
      <w:r>
        <w:rPr>
          <w:sz w:val="28"/>
          <w:szCs w:val="28"/>
          <w:lang w:val="uk-UA"/>
        </w:rPr>
        <w:t xml:space="preserve">, тільки після взяття їх на військовий облік у</w:t>
      </w:r>
      <w:r>
        <w:rPr>
          <w:sz w:val="28"/>
          <w:szCs w:val="28"/>
          <w:lang w:val="uk-UA"/>
        </w:rPr>
        <w:t xml:space="preserve"> Першому відділі Корюківського</w:t>
      </w:r>
      <w:r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го</w:t>
      </w:r>
      <w:r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комплектування та соціальної підтримки;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102"/>
      <w:r/>
      <w:bookmarkEnd w:id="1"/>
      <w:r>
        <w:rPr>
          <w:sz w:val="28"/>
          <w:szCs w:val="28"/>
          <w:lang w:val="uk-UA"/>
        </w:rPr>
        <w:t xml:space="preserve">2) виключення з персонально-первинного військового обліку громадян під час їх вибуття в іншу адміністративно-територіальну одиницю до нового місця проживання тільки після зняття таких громадян з військового обліку у </w:t>
      </w:r>
      <w:r>
        <w:rPr>
          <w:sz w:val="28"/>
          <w:szCs w:val="28"/>
          <w:lang w:val="uk-UA"/>
        </w:rPr>
        <w:t xml:space="preserve">Першому відділі Корюківського 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103"/>
      <w:r/>
      <w:bookmarkEnd w:id="2"/>
      <w:r>
        <w:rPr>
          <w:sz w:val="28"/>
          <w:szCs w:val="28"/>
          <w:lang w:val="uk-UA"/>
        </w:rPr>
        <w:t xml:space="preserve">3) виявлення призовників, військовозобов’язаних та резервістів, які проживають на території </w:t>
      </w:r>
      <w:r>
        <w:rPr>
          <w:sz w:val="28"/>
          <w:szCs w:val="28"/>
          <w:lang w:val="uk-UA"/>
        </w:rPr>
        <w:t xml:space="preserve">відповідного старостинського округу</w:t>
      </w:r>
      <w:r>
        <w:rPr>
          <w:sz w:val="28"/>
          <w:szCs w:val="28"/>
          <w:lang w:val="uk-UA"/>
        </w:rPr>
        <w:t xml:space="preserve">, і не перебувають в них на персонально-первинному військовому обліку, направлення таких громадян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для взяття на військовий облік, взяття призовників, військовозобов’язаних та резервістів на персонально-первинний військовий облік;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" w:name="n104"/>
      <w:r/>
      <w:bookmarkEnd w:id="3"/>
      <w:r>
        <w:rPr>
          <w:sz w:val="28"/>
          <w:szCs w:val="28"/>
          <w:lang w:val="uk-UA"/>
        </w:rPr>
        <w:t xml:space="preserve">4) ведення </w:t>
      </w:r>
      <w:hyperlink r:id="rId14" w:tooltip="https://zakon.rada.gov.ua/laws/show/1487-2022-%D0%BF#n378" w:anchor="n378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карток первинного обліку призовників, військовозобов’язаних та резервістів</w:t>
        </w:r>
      </w:hyperlink>
      <w:r>
        <w:rPr>
          <w:sz w:val="28"/>
          <w:szCs w:val="28"/>
          <w:lang w:val="uk-UA"/>
        </w:rPr>
        <w:t xml:space="preserve">, які проживають на території </w:t>
      </w:r>
      <w:r>
        <w:rPr>
          <w:sz w:val="28"/>
          <w:szCs w:val="28"/>
          <w:lang w:val="uk-UA"/>
        </w:rPr>
        <w:t xml:space="preserve">відповідного старостинського округу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4" w:name="n105"/>
      <w:r/>
      <w:bookmarkEnd w:id="4"/>
      <w:r>
        <w:rPr>
          <w:sz w:val="28"/>
          <w:szCs w:val="28"/>
          <w:lang w:val="uk-UA"/>
        </w:rPr>
        <w:t xml:space="preserve">5) проведення відповідної роз’яснювальної роботи серед призовників, військовозобов’язаних та резервістів щодо виконання ними правил військового обліку;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5" w:name="n106"/>
      <w:r/>
      <w:bookmarkEnd w:id="5"/>
      <w:r>
        <w:rPr>
          <w:sz w:val="28"/>
          <w:szCs w:val="28"/>
          <w:lang w:val="uk-UA"/>
        </w:rPr>
        <w:t xml:space="preserve">6) інформування у семиденний строк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про призовників, військовозобов’язаних та резервістів, які: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6" w:name="n107"/>
      <w:r/>
      <w:bookmarkEnd w:id="6"/>
      <w:r>
        <w:rPr>
          <w:sz w:val="28"/>
          <w:szCs w:val="28"/>
          <w:lang w:val="uk-UA"/>
        </w:rPr>
        <w:t xml:space="preserve">прибули д</w:t>
      </w:r>
      <w:r>
        <w:rPr>
          <w:sz w:val="28"/>
          <w:szCs w:val="28"/>
          <w:lang w:val="uk-UA"/>
        </w:rPr>
        <w:t xml:space="preserve">ля проживання з адміністративно-територіальних одиниць, що обслуговуються іншими виконавчими органами сільських, селищних, міських рад, без зняття з військового (персонально-первинного військового) обліку за задекларованим/зареєстрованим місцем проживання;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7" w:name="n108"/>
      <w:r/>
      <w:bookmarkEnd w:id="7"/>
      <w:r>
        <w:rPr>
          <w:sz w:val="28"/>
          <w:szCs w:val="28"/>
          <w:lang w:val="uk-UA"/>
        </w:rPr>
        <w:t xml:space="preserve">вибули до нового місця проживання за межі </w:t>
      </w:r>
      <w:r>
        <w:rPr>
          <w:sz w:val="28"/>
          <w:szCs w:val="28"/>
          <w:lang w:val="uk-UA"/>
        </w:rPr>
        <w:t xml:space="preserve">відповідного старостинського округу </w:t>
      </w:r>
      <w:r>
        <w:rPr>
          <w:sz w:val="28"/>
          <w:szCs w:val="28"/>
          <w:lang w:val="uk-UA"/>
        </w:rPr>
        <w:t xml:space="preserve">без зняття з військового (персонально-первинного) обліку;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8" w:name="n109"/>
      <w:r/>
      <w:bookmarkEnd w:id="8"/>
      <w:r>
        <w:rPr>
          <w:sz w:val="28"/>
          <w:szCs w:val="28"/>
          <w:lang w:val="uk-UA"/>
        </w:rPr>
        <w:t xml:space="preserve">7) оповіщення на вимогу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призовників, військовозобов’язаних та резервістів про їх виклик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і забезпечення їх своєчасного прибуття;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9" w:name="n110"/>
      <w:r/>
      <w:bookmarkEnd w:id="9"/>
      <w:r>
        <w:rPr>
          <w:sz w:val="28"/>
          <w:szCs w:val="28"/>
          <w:lang w:val="uk-UA"/>
        </w:rPr>
        <w:t xml:space="preserve">8) взаємодію з </w:t>
      </w:r>
      <w:r>
        <w:rPr>
          <w:sz w:val="28"/>
          <w:szCs w:val="28"/>
          <w:lang w:val="uk-UA"/>
        </w:rPr>
        <w:t xml:space="preserve">Першим відділом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щодо здійснення спільних заходів в галузі оборонної роботи, строків та способів звіряння даних карток первинного обліку призовників, війсь</w:t>
      </w:r>
      <w:r>
        <w:rPr>
          <w:sz w:val="28"/>
          <w:szCs w:val="28"/>
          <w:lang w:val="uk-UA"/>
        </w:rPr>
        <w:t xml:space="preserve">ковозобов’язаних та резервістів</w:t>
      </w:r>
      <w:r>
        <w:rPr>
          <w:sz w:val="28"/>
          <w:szCs w:val="28"/>
          <w:lang w:val="uk-UA"/>
        </w:rPr>
        <w:t xml:space="preserve">, внесення відповідних змін до них, а також щодо оповіщення призовників, військовозобов’язаних та резервістів;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0" w:name="n111"/>
      <w:r/>
      <w:bookmarkEnd w:id="10"/>
      <w:r>
        <w:rPr>
          <w:sz w:val="28"/>
          <w:szCs w:val="28"/>
          <w:lang w:val="uk-UA"/>
        </w:rPr>
        <w:t xml:space="preserve">9) подання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на їх вимогу відомостей щодо призовників, військовозобов’язаних та резервістів, військовий облік яких вони ведуть;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1" w:name="n112"/>
      <w:r/>
      <w:bookmarkEnd w:id="11"/>
      <w:r>
        <w:rPr>
          <w:sz w:val="28"/>
          <w:szCs w:val="28"/>
          <w:lang w:val="uk-UA"/>
        </w:rPr>
        <w:t xml:space="preserve">10) внесення у п’ятиденний строк з дня подання відповідних документів змін до карток первинного обліку пр</w:t>
      </w:r>
      <w:r>
        <w:rPr>
          <w:sz w:val="28"/>
          <w:szCs w:val="28"/>
          <w:lang w:val="uk-UA"/>
        </w:rPr>
        <w:t xml:space="preserve">изовників щодо їх прізвища, власного імені та по батькові (за наявності), реквізитів паспорта громадянина України, адреси задекларованого/зареєстрованого місця проживання, сімейного стану, освіти, місця роботи і посади та надсилання щомісяця до 5 числа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hyperlink r:id="rId15" w:tooltip="https://zakon.rada.gov.ua/laws/show/1487-2022-%D0%BF#n380" w:anchor="n380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повідомлень про зміну облікових даних</w:t>
        </w:r>
      </w:hyperlink>
      <w:r>
        <w:rPr>
          <w:sz w:val="28"/>
          <w:szCs w:val="28"/>
          <w:lang w:val="uk-UA"/>
        </w:rPr>
        <w:t xml:space="preserve"> (додаток 4);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2" w:name="n113"/>
      <w:r/>
      <w:bookmarkEnd w:id="12"/>
      <w:r>
        <w:rPr>
          <w:sz w:val="28"/>
          <w:szCs w:val="28"/>
          <w:lang w:val="uk-UA"/>
        </w:rPr>
        <w:t xml:space="preserve">11) звіряння не рідше одного разу на рік облікових даних карток первинного обліку призовників, військовозобов’язаних та резервістів, які </w:t>
      </w:r>
      <w:r>
        <w:rPr>
          <w:sz w:val="28"/>
          <w:szCs w:val="28"/>
          <w:lang w:val="uk-UA"/>
        </w:rPr>
        <w:t xml:space="preserve">перебувають на персонально-первинному військовому обліку у </w:t>
      </w:r>
      <w:r>
        <w:rPr>
          <w:sz w:val="28"/>
          <w:szCs w:val="28"/>
          <w:lang w:val="uk-UA"/>
        </w:rPr>
        <w:t xml:space="preserve">відповідному старостинському окрузі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3" w:name="n114"/>
      <w:r/>
      <w:bookmarkEnd w:id="13"/>
      <w:r>
        <w:rPr>
          <w:sz w:val="28"/>
          <w:szCs w:val="28"/>
          <w:lang w:val="uk-UA"/>
        </w:rPr>
        <w:t xml:space="preserve">з обліковими даними, що містяться у </w:t>
      </w:r>
      <w:hyperlink r:id="rId16" w:tooltip="https://zakon.rada.gov.ua/laws/show/1487-2022-%D0%BF#n382" w:anchor="n382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списках персонального військового обліку призовників, військовозобов’язаних та резервістів</w:t>
        </w:r>
      </w:hyperlink>
      <w:r>
        <w:rPr>
          <w:sz w:val="28"/>
          <w:szCs w:val="28"/>
          <w:lang w:val="uk-UA"/>
        </w:rPr>
        <w:t xml:space="preserve"> підприємств, установ та організацій, в яких вони працюють (навчаються), що перебувають на території </w:t>
      </w:r>
      <w:r>
        <w:rPr>
          <w:sz w:val="28"/>
          <w:szCs w:val="28"/>
          <w:lang w:val="uk-UA"/>
        </w:rPr>
        <w:t xml:space="preserve">ввідповідного старостинського округу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4" w:name="n115"/>
      <w:r/>
      <w:bookmarkStart w:id="15" w:name="n116"/>
      <w:r/>
      <w:bookmarkEnd w:id="14"/>
      <w:r/>
      <w:bookmarkEnd w:id="15"/>
      <w:r>
        <w:rPr>
          <w:sz w:val="28"/>
          <w:szCs w:val="28"/>
          <w:lang w:val="uk-UA"/>
        </w:rPr>
        <w:t xml:space="preserve">з місцем фактичного проживання призовників, військовозобов’язаних та резервістів;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6" w:name="n117"/>
      <w:r/>
      <w:bookmarkEnd w:id="16"/>
      <w:r>
        <w:rPr>
          <w:sz w:val="28"/>
          <w:szCs w:val="28"/>
          <w:lang w:val="uk-UA"/>
        </w:rPr>
        <w:t xml:space="preserve">12) звіряння не рідше одного разу на рік облікових даних карток первинного обліку призовників, які перебувають на персонально-первинному військовому обліку у </w:t>
      </w:r>
      <w:r>
        <w:rPr>
          <w:sz w:val="28"/>
          <w:szCs w:val="28"/>
          <w:lang w:val="uk-UA"/>
        </w:rPr>
        <w:t xml:space="preserve">відповідному старостинському окрузі</w:t>
      </w:r>
      <w:r>
        <w:rPr>
          <w:sz w:val="28"/>
          <w:szCs w:val="28"/>
          <w:lang w:val="uk-UA"/>
        </w:rPr>
        <w:t xml:space="preserve">, з обліковими даними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(звіряння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службу, а також в інші строки, </w:t>
      </w:r>
      <w:r>
        <w:rPr>
          <w:sz w:val="28"/>
          <w:szCs w:val="28"/>
          <w:lang w:val="uk-UA"/>
        </w:rPr>
        <w:t xml:space="preserve">Першим відділом Корюківського районного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);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7" w:name="n118"/>
      <w:r/>
      <w:bookmarkEnd w:id="17"/>
      <w:r>
        <w:rPr>
          <w:sz w:val="28"/>
          <w:szCs w:val="28"/>
          <w:lang w:val="uk-UA"/>
        </w:rPr>
        <w:t xml:space="preserve">13) складення і подання щороку до 1 грудня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hyperlink r:id="rId17" w:tooltip="https://zakon.rada.gov.ua/laws/show/1487-2022-%D0%BF#n443" w:anchor="n443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списків громадян, які підлягають приписці до призовних дільниць</w:t>
        </w:r>
      </w:hyperlink>
      <w:r>
        <w:rPr>
          <w:sz w:val="28"/>
          <w:szCs w:val="28"/>
          <w:lang w:val="uk-UA"/>
        </w:rPr>
        <w:t xml:space="preserve">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8" w:name="n119"/>
      <w:r/>
      <w:bookmarkEnd w:id="18"/>
      <w:r>
        <w:rPr>
          <w:sz w:val="28"/>
          <w:szCs w:val="28"/>
          <w:lang w:val="uk-UA"/>
        </w:rPr>
        <w:t xml:space="preserve">14) приймання від призовників, військовозобов’язаних та резервістів під розписку у бланках </w:t>
      </w:r>
      <w:hyperlink r:id="rId18" w:tooltip="https://zakon.rada.gov.ua/laws/show/1487-2022-%D0%BF#n451" w:anchor="n451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розписок</w:t>
        </w:r>
      </w:hyperlink>
      <w:r>
        <w:rPr>
          <w:sz w:val="28"/>
          <w:szCs w:val="28"/>
          <w:lang w:val="uk-UA"/>
        </w:rPr>
        <w:t xml:space="preserve">  їх військово-облікових документів для звіряння з картками первинного обліку;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9" w:name="n120"/>
      <w:r/>
      <w:bookmarkEnd w:id="19"/>
      <w:r>
        <w:rPr>
          <w:sz w:val="28"/>
          <w:szCs w:val="28"/>
          <w:lang w:val="uk-UA"/>
        </w:rPr>
        <w:t xml:space="preserve">15) постійний контроль за виконанням посадовими особами підприємств, установ та організацій, які розташовані на території </w:t>
      </w:r>
      <w:r>
        <w:rPr>
          <w:sz w:val="28"/>
          <w:szCs w:val="28"/>
          <w:lang w:val="uk-UA"/>
        </w:rPr>
        <w:t xml:space="preserve">відповідного старостинського округу</w:t>
      </w:r>
      <w:r>
        <w:rPr>
          <w:sz w:val="28"/>
          <w:szCs w:val="28"/>
          <w:lang w:val="uk-UA"/>
        </w:rPr>
        <w:t xml:space="preserve">, вимог Порядку, а призовниками, військовозобов’язаними та резервістами - правил військового обліку;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0" w:name="n121"/>
      <w:r/>
      <w:bookmarkEnd w:id="20"/>
      <w:r>
        <w:rPr>
          <w:sz w:val="28"/>
          <w:szCs w:val="28"/>
          <w:lang w:val="uk-UA"/>
        </w:rPr>
        <w:t xml:space="preserve">16) інформування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про посадових осіб підприємств, установ та організацій, які порушують вимоги Порядку, а також про громадян, які порушують правила військового обліку, для притягнення винних до відповідальності згідно із законом;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1" w:name="n122"/>
      <w:r/>
      <w:bookmarkEnd w:id="21"/>
      <w:r>
        <w:rPr>
          <w:sz w:val="28"/>
          <w:szCs w:val="28"/>
          <w:lang w:val="uk-UA"/>
        </w:rPr>
        <w:t xml:space="preserve">17) інформування щомісяця до 5 числа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про державну реєстрацію утворення, припинення підприємств, установ та організацій, які розташовані на території </w:t>
      </w:r>
      <w:r>
        <w:rPr>
          <w:sz w:val="28"/>
          <w:szCs w:val="28"/>
          <w:lang w:val="uk-UA"/>
        </w:rPr>
        <w:t xml:space="preserve">відповідного старостинського округу;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2" w:name="n123"/>
      <w:r/>
      <w:bookmarkEnd w:id="22"/>
      <w:r>
        <w:rPr>
          <w:sz w:val="28"/>
          <w:szCs w:val="28"/>
          <w:lang w:val="uk-UA"/>
        </w:rPr>
        <w:t xml:space="preserve">18) ведення та зберігання </w:t>
      </w:r>
      <w:hyperlink r:id="rId19" w:tooltip="https://zakon.rada.gov.ua/laws/show/1487-2022-%D0%BF#n459" w:anchor="n459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журналу обліку результатів перевірки стану військового обліку, звіряння їх облікових даних з даними </w:t>
        </w:r>
        <w:r>
          <w:rPr>
            <w:sz w:val="28"/>
            <w:szCs w:val="28"/>
            <w:lang w:val="uk-UA"/>
          </w:rPr>
          <w:t xml:space="preserve">Першого відділу Корюківського районного територіального центру комплектування та соціальної підтримки. </w:t>
        </w:r>
      </w:hyperlink>
      <w:r/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3" w:name="n124"/>
      <w:r/>
      <w:bookmarkEnd w:id="23"/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.2</w:t>
      </w:r>
      <w:r>
        <w:rPr>
          <w:sz w:val="28"/>
          <w:szCs w:val="28"/>
          <w:lang w:val="uk-UA"/>
        </w:rPr>
        <w:t xml:space="preserve">. Під час взяття призовників, військовозобов’язаних та резервістів на персонально-первинний військовий облік </w:t>
      </w:r>
      <w:r>
        <w:rPr>
          <w:sz w:val="28"/>
          <w:szCs w:val="28"/>
          <w:lang w:val="uk-UA"/>
        </w:rPr>
        <w:t xml:space="preserve">відповідальний за ВВО: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4" w:name="n126"/>
      <w:r/>
      <w:bookmarkEnd w:id="24"/>
      <w:r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  <w:lang w:val="uk-UA"/>
        </w:rPr>
        <w:t xml:space="preserve">перевіря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дійсність та належність військово-облікових документів призовників, військовозобов’язаних та резервістів їх власникам, наявність відміток про взяття на військовий облік у </w:t>
      </w:r>
      <w:r>
        <w:rPr>
          <w:sz w:val="28"/>
          <w:szCs w:val="28"/>
          <w:lang w:val="uk-UA"/>
        </w:rPr>
        <w:t xml:space="preserve">Першому відділі Корюківського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районно</w:t>
      </w:r>
      <w:r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 xml:space="preserve">територіально</w:t>
      </w:r>
      <w:r>
        <w:rPr>
          <w:sz w:val="28"/>
          <w:szCs w:val="28"/>
          <w:lang w:val="uk-UA"/>
        </w:rPr>
        <w:t xml:space="preserve">го</w:t>
      </w:r>
      <w:r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комплек</w:t>
      </w:r>
      <w:r>
        <w:rPr>
          <w:sz w:val="28"/>
          <w:szCs w:val="28"/>
          <w:lang w:val="uk-UA"/>
        </w:rPr>
        <w:t xml:space="preserve">тування та соціальної підтримки</w:t>
      </w:r>
      <w:r>
        <w:rPr>
          <w:sz w:val="28"/>
          <w:szCs w:val="28"/>
          <w:lang w:val="uk-UA"/>
        </w:rPr>
        <w:t xml:space="preserve"> та своєчасність їх прибуття до </w:t>
      </w:r>
      <w:r>
        <w:rPr>
          <w:sz w:val="28"/>
          <w:szCs w:val="28"/>
          <w:lang w:val="uk-UA"/>
        </w:rPr>
        <w:t xml:space="preserve">старостинського округу</w:t>
      </w:r>
      <w:r>
        <w:rPr>
          <w:sz w:val="28"/>
          <w:szCs w:val="28"/>
          <w:lang w:val="uk-UA"/>
        </w:rPr>
        <w:t xml:space="preserve">, доводять під особистий підпис призовників, військовозобов’язаних та резервістів правила військового обліку та інформацію про відповідальність за невиконання цих правил;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5" w:name="n127"/>
      <w:r/>
      <w:bookmarkEnd w:id="25"/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 xml:space="preserve">проводять оформлення картки первинного обліку.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6" w:name="n128"/>
      <w:r/>
      <w:bookmarkEnd w:id="26"/>
      <w:r>
        <w:rPr>
          <w:sz w:val="28"/>
          <w:szCs w:val="28"/>
          <w:lang w:val="uk-UA"/>
        </w:rPr>
        <w:t xml:space="preserve">У разі виявлення у військово-облікових документах призовників, військовозобов’язаних та резервістів розбіжностей, помилок або підробок </w:t>
      </w:r>
      <w:r>
        <w:rPr>
          <w:sz w:val="28"/>
          <w:szCs w:val="28"/>
          <w:lang w:val="uk-UA"/>
        </w:rPr>
        <w:t xml:space="preserve">відповідальний за ВВО </w:t>
      </w:r>
      <w:r>
        <w:rPr>
          <w:sz w:val="28"/>
          <w:szCs w:val="28"/>
          <w:lang w:val="uk-UA"/>
        </w:rPr>
        <w:t xml:space="preserve">повідомля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про це </w:t>
      </w:r>
      <w:r>
        <w:rPr>
          <w:sz w:val="28"/>
          <w:szCs w:val="28"/>
          <w:lang w:val="uk-UA"/>
        </w:rPr>
        <w:t xml:space="preserve">Першому відділі Корюківського районного територіального центру комплектування та соціальної підтримки.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Відповідальний за ВВО</w:t>
      </w:r>
      <w:r>
        <w:rPr>
          <w:sz w:val="28"/>
          <w:szCs w:val="28"/>
          <w:lang w:val="uk-UA"/>
        </w:rPr>
        <w:t xml:space="preserve"> щомісяця до 5 числа надсила</w:t>
      </w:r>
      <w:r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повідомлення про зміну облікових даних призовників, військовозобов’язаних та резервістів, які змінили місце проживання в межах </w:t>
      </w:r>
      <w:r>
        <w:rPr>
          <w:sz w:val="28"/>
          <w:szCs w:val="28"/>
          <w:lang w:val="uk-UA"/>
        </w:rPr>
        <w:t xml:space="preserve">відповідного старостинського округу</w:t>
      </w:r>
      <w:r>
        <w:rPr>
          <w:sz w:val="28"/>
          <w:szCs w:val="28"/>
          <w:lang w:val="uk-UA"/>
        </w:rPr>
        <w:t xml:space="preserve">, а також військовозобов’язаних та резервістів, що прибули з мобілізаційними розпорядженнями.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7" w:name="n137"/>
      <w:r/>
      <w:bookmarkEnd w:id="27"/>
      <w:r>
        <w:rPr>
          <w:sz w:val="28"/>
          <w:szCs w:val="28"/>
          <w:lang w:val="uk-UA"/>
        </w:rPr>
        <w:t xml:space="preserve">За рішенням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здійснюється вилучення у військовозобов’язаного та резервіста мобілізаційного розпорядження.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8" w:name="n138"/>
      <w:r/>
      <w:bookmarkEnd w:id="28"/>
      <w:r>
        <w:rPr>
          <w:sz w:val="28"/>
          <w:szCs w:val="28"/>
          <w:lang w:val="uk-UA"/>
        </w:rPr>
        <w:t xml:space="preserve">Вилучені мобілізаційні розпорядження разом з військово-обліковими документами військовозобов’язаних та резервістів щомісяця до 5 числа надсилаються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разом із повідомленням про зміну облікових даних.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</w:t>
      </w:r>
      <w:r>
        <w:rPr>
          <w:sz w:val="28"/>
          <w:szCs w:val="28"/>
          <w:lang w:val="uk-UA"/>
        </w:rPr>
        <w:t xml:space="preserve">. Звіряння облікових даних карток первинного обліку у випадках, передбачених Порядк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, здійснюється шляхом подвірного обходу відповідно до графіка звіряння, затвердженого розпорядженням міського голови.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9" w:name="n146"/>
      <w:r/>
      <w:bookmarkEnd w:id="29"/>
      <w:r>
        <w:rPr>
          <w:sz w:val="28"/>
          <w:szCs w:val="28"/>
          <w:lang w:val="uk-UA"/>
        </w:rPr>
        <w:t xml:space="preserve">Під час звіряння перевіряються наявність та стан військово-облікових документів призовників, військовозобов’язаних та резервістів.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0" w:name="n147"/>
      <w:r/>
      <w:bookmarkEnd w:id="30"/>
      <w:r>
        <w:rPr>
          <w:sz w:val="28"/>
          <w:szCs w:val="28"/>
          <w:lang w:val="uk-UA"/>
        </w:rPr>
        <w:t xml:space="preserve">Відповідальний за ВВО</w:t>
      </w:r>
      <w:r>
        <w:rPr>
          <w:sz w:val="28"/>
          <w:szCs w:val="28"/>
          <w:lang w:val="uk-UA"/>
        </w:rPr>
        <w:t xml:space="preserve"> внос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ть до карток первинного обліку зміни облікових даних, які виявлені під час звіряння, та надсила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щомісяця до 5 числа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повідомлення про зміни облікових </w:t>
      </w:r>
      <w:r>
        <w:rPr>
          <w:sz w:val="28"/>
          <w:szCs w:val="28"/>
          <w:lang w:val="uk-UA"/>
        </w:rPr>
        <w:t xml:space="preserve">даних.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1" w:name="n148"/>
      <w:r/>
      <w:bookmarkEnd w:id="31"/>
      <w:r>
        <w:rPr>
          <w:sz w:val="28"/>
          <w:szCs w:val="28"/>
          <w:lang w:val="uk-UA"/>
        </w:rPr>
        <w:t xml:space="preserve">Результати звіряння облікових даних карток первинного обліку з обліковими даними списків персонального військового обліку, що ведеться на підприємствах, в установах та організаціях, вносяться до журналу обліку результатів перевірки.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2" w:name="n149"/>
      <w:r/>
      <w:bookmarkEnd w:id="32"/>
      <w:r>
        <w:rPr>
          <w:sz w:val="28"/>
          <w:szCs w:val="28"/>
          <w:lang w:val="uk-UA"/>
        </w:rPr>
        <w:t xml:space="preserve">2.5</w:t>
      </w:r>
      <w:r>
        <w:rPr>
          <w:sz w:val="28"/>
          <w:szCs w:val="28"/>
          <w:lang w:val="uk-UA"/>
        </w:rPr>
        <w:t xml:space="preserve">. Звіряння даних карток первинного обліку з обліковими даними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здійснюється відповідно до </w:t>
      </w:r>
      <w:r>
        <w:rPr>
          <w:sz w:val="28"/>
          <w:szCs w:val="28"/>
          <w:lang w:val="uk-UA"/>
        </w:rPr>
        <w:t xml:space="preserve">затвердженого </w:t>
      </w:r>
      <w:r>
        <w:rPr>
          <w:sz w:val="28"/>
          <w:szCs w:val="28"/>
          <w:lang w:val="uk-UA"/>
        </w:rPr>
        <w:t xml:space="preserve">графік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звіряння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3" w:name="n150"/>
      <w:r/>
      <w:bookmarkEnd w:id="33"/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ідповідальн</w:t>
      </w:r>
      <w:r>
        <w:rPr>
          <w:sz w:val="28"/>
          <w:szCs w:val="28"/>
          <w:lang w:val="uk-UA"/>
        </w:rPr>
        <w:t xml:space="preserve">ий</w:t>
      </w:r>
      <w:r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ВВО</w:t>
      </w:r>
      <w:r>
        <w:rPr>
          <w:sz w:val="28"/>
          <w:szCs w:val="28"/>
          <w:lang w:val="uk-UA"/>
        </w:rPr>
        <w:t xml:space="preserve">, у визначені графіком звіряння строки прибува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та провод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ть звіряння даних карток первинного обліку з обліковими документами призовників, військовозобов’язаних та резервістів, які зберігаються у </w:t>
      </w:r>
      <w:r>
        <w:rPr>
          <w:sz w:val="28"/>
          <w:szCs w:val="28"/>
          <w:lang w:val="uk-UA"/>
        </w:rPr>
        <w:t xml:space="preserve">Першому відділі </w:t>
      </w:r>
      <w:r>
        <w:rPr>
          <w:sz w:val="28"/>
          <w:szCs w:val="28"/>
          <w:lang w:val="uk-UA"/>
        </w:rPr>
        <w:t xml:space="preserve">Корюківського районного територіального центру комплектування та соціальної підтримки.</w:t>
      </w:r>
      <w:r/>
    </w:p>
    <w:p>
      <w:pPr>
        <w:pStyle w:val="889"/>
        <w:ind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4" w:name="n151"/>
      <w:r/>
      <w:bookmarkEnd w:id="34"/>
      <w:r>
        <w:rPr>
          <w:sz w:val="28"/>
          <w:szCs w:val="28"/>
          <w:lang w:val="uk-UA"/>
        </w:rPr>
        <w:t xml:space="preserve">Результати звіряння вносяться до журналу обліку результатів перевірки.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5" w:name="n152"/>
      <w:r/>
      <w:bookmarkEnd w:id="35"/>
      <w:r>
        <w:rPr>
          <w:sz w:val="28"/>
          <w:szCs w:val="28"/>
          <w:lang w:val="uk-UA"/>
        </w:rPr>
        <w:t xml:space="preserve">2.6.</w:t>
      </w:r>
      <w:r>
        <w:rPr>
          <w:sz w:val="28"/>
          <w:szCs w:val="28"/>
          <w:lang w:val="uk-UA"/>
        </w:rPr>
        <w:t xml:space="preserve"> У разі отримання розпорядження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щодо оповіщення призовників, військовозобов’язаних та резервістів про їх явку на призовні дільниці (пункти попереднього збору) дл</w:t>
      </w:r>
      <w:r>
        <w:rPr>
          <w:sz w:val="28"/>
          <w:szCs w:val="28"/>
          <w:lang w:val="uk-UA"/>
        </w:rPr>
        <w:t xml:space="preserve">я оформлення військово-облікових документів, проходження медичного огляду, приписки до призовної дільниці, взяття на військовий облік, визначення призначення на особливий період, призову на військову службу або на збори військовозобов’язаних (резервістів) </w:t>
      </w:r>
      <w:r>
        <w:rPr>
          <w:sz w:val="28"/>
          <w:szCs w:val="28"/>
          <w:lang w:val="uk-UA"/>
        </w:rPr>
        <w:t xml:space="preserve">відповідальний за ВВО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6" w:name="n153"/>
      <w:r/>
      <w:bookmarkEnd w:id="36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відбира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картки первинного обліку зазначених у розпорядженні призовників, військовозобов’язаних та резервістів;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7" w:name="n154"/>
      <w:r/>
      <w:bookmarkEnd w:id="37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забезпечує</w:t>
      </w:r>
      <w:r>
        <w:rPr>
          <w:sz w:val="28"/>
          <w:szCs w:val="28"/>
          <w:lang w:val="uk-UA"/>
        </w:rPr>
        <w:t xml:space="preserve"> оповіщення зазначених у розпорядженні призовників, військовозобов’язаних та резервістів за місцем їх проживання шляхом вручення під їх особистий підпис у картках первинного обліку </w:t>
      </w:r>
      <w:hyperlink r:id="rId20" w:tooltip="https://zakon.rada.gov.ua/laws/show/1487-2022-%D0%BF#n464" w:anchor="n464" w:history="1">
        <w:r>
          <w:rPr>
            <w:rStyle w:val="873"/>
            <w:rFonts w:eastAsia="Arial"/>
            <w:color w:val="auto"/>
            <w:sz w:val="28"/>
            <w:szCs w:val="28"/>
            <w:u w:val="none"/>
            <w:lang w:val="uk-UA"/>
          </w:rPr>
          <w:t xml:space="preserve">повісток</w:t>
        </w:r>
      </w:hyperlink>
      <w:r>
        <w:rPr>
          <w:sz w:val="28"/>
          <w:szCs w:val="28"/>
          <w:lang w:val="uk-UA"/>
        </w:rPr>
        <w:t xml:space="preserve">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8" w:name="n155"/>
      <w:r/>
      <w:bookmarkEnd w:id="38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у триденний строк письмово повідомля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Перший відділ Корюківського районного територіального центру комплектування та соціальної підтримки </w:t>
      </w:r>
      <w:r>
        <w:rPr>
          <w:sz w:val="28"/>
          <w:szCs w:val="28"/>
          <w:lang w:val="uk-UA"/>
        </w:rPr>
        <w:t xml:space="preserve">про результати оповіщення, виконання призовниками, військовозобов’язаними та резервістами вимог законодавства;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39" w:name="n156"/>
      <w:r/>
      <w:bookmarkEnd w:id="39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забезпечу</w:t>
      </w:r>
      <w:r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контроль за прибуттям призовників, військовозобов’язаних та резервістів до </w:t>
      </w:r>
      <w:r>
        <w:rPr>
          <w:sz w:val="28"/>
          <w:szCs w:val="28"/>
          <w:lang w:val="uk-UA"/>
        </w:rPr>
        <w:t xml:space="preserve">Першого відділу Корюківського районного територіального центру комплектування та соціальної підтримки.</w:t>
      </w:r>
      <w:r/>
    </w:p>
    <w:p>
      <w:pPr>
        <w:pStyle w:val="889"/>
        <w:ind w:firstLine="450"/>
        <w:jc w:val="both"/>
        <w:spacing w:after="0" w:afterAutospacing="0" w:before="0" w:beforeAutospacing="0"/>
        <w:shd w:val="clear" w:fill="FFFFFF" w:color="auto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</w:r>
      <w:r>
        <w:rPr>
          <w:sz w:val="20"/>
          <w:szCs w:val="28"/>
          <w:lang w:val="uk-UA"/>
        </w:rPr>
      </w:r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Права</w:t>
      </w:r>
      <w:r/>
    </w:p>
    <w:p>
      <w:pPr>
        <w:ind w:firstLine="709"/>
        <w:jc w:val="both"/>
        <w:spacing w:lineRule="auto" w:line="240" w:after="0"/>
        <w:tabs>
          <w:tab w:val="left" w:pos="357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3.1. Контролювати виконання військовозобов’язаними та призовниками правил військового обліку.</w:t>
      </w:r>
      <w:r/>
    </w:p>
    <w:p>
      <w:pPr>
        <w:ind w:firstLine="709"/>
        <w:jc w:val="both"/>
        <w:spacing w:lineRule="auto" w:line="240" w:after="0"/>
        <w:tabs>
          <w:tab w:val="left" w:pos="357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Проводити перевірк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збирати військово-облікові та інші необхідні для роботи документи у військовозобов’язаних і призовників.</w:t>
      </w:r>
      <w:r/>
    </w:p>
    <w:p>
      <w:pPr>
        <w:ind w:firstLine="709"/>
        <w:jc w:val="both"/>
        <w:spacing w:lineRule="auto" w:line="240" w:after="0"/>
        <w:tabs>
          <w:tab w:val="left" w:pos="3570" w:leader="none"/>
        </w:tabs>
        <w:rPr>
          <w:rFonts w:ascii="Times New Roman" w:hAnsi="Times New Roman" w:cs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</w:p>
    <w:p>
      <w:pPr>
        <w:numPr>
          <w:ilvl w:val="0"/>
          <w:numId w:val="3"/>
        </w:numPr>
        <w:jc w:val="center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Відповідальність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Відповідальний за ВВО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несе персональну відповідальність за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невиконання або неналежне виконання своїх посадових обов’язків згідно цієї інструкції в межах, визначених чинним законодавством України;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0"/>
          <w:szCs w:val="28"/>
          <w:lang w:eastAsia="ru-RU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5. Взаємовідносини (зв’язки) за посадою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5.1. Отримує від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військовозобов’язаних та призовників, а також підприємств, установ, організацій, які розташовані на території відповідного старостинського округу,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необхідні матеріали для виконання функціональних завдань та обов’язків.</w:t>
      </w:r>
      <w:r/>
    </w:p>
    <w:p>
      <w:pPr>
        <w:ind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2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2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2"/>
          <w:szCs w:val="28"/>
          <w:lang w:eastAsia="ru-RU"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інструкцією ознайомлений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198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________________    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          (підпис)                                                            (Ім’я, ПРІЗВИЩЕ)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r>
    </w:p>
    <w:p>
      <w:pPr>
        <w:jc w:val="both"/>
        <w:spacing w:lineRule="auto" w:line="240" w:after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36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i/>
          <w:sz w:val="28"/>
          <w:szCs w:val="28"/>
          <w:lang w:eastAsia="ru-RU"/>
        </w:rPr>
        <w:t xml:space="preserve">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оку</w:t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709" w:right="709" w:bottom="851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fldSimple w:instr="PAGE \* MERGEFORMAT">
      <w:r>
        <w:t xml:space="preserve">1</w:t>
      </w:r>
    </w:fldSimple>
    <w:r/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11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Heading 1 Char"/>
    <w:basedOn w:val="721"/>
    <w:link w:val="712"/>
    <w:uiPriority w:val="9"/>
    <w:rPr>
      <w:rFonts w:ascii="Arial" w:hAnsi="Arial" w:cs="Arial" w:eastAsia="Arial"/>
      <w:sz w:val="40"/>
      <w:szCs w:val="40"/>
    </w:rPr>
  </w:style>
  <w:style w:type="character" w:styleId="690">
    <w:name w:val="Heading 2 Char"/>
    <w:basedOn w:val="721"/>
    <w:link w:val="713"/>
    <w:uiPriority w:val="9"/>
    <w:rPr>
      <w:rFonts w:ascii="Arial" w:hAnsi="Arial" w:cs="Arial" w:eastAsia="Arial"/>
      <w:sz w:val="34"/>
    </w:rPr>
  </w:style>
  <w:style w:type="character" w:styleId="691">
    <w:name w:val="Heading 3 Char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692">
    <w:name w:val="Heading 4 Char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693">
    <w:name w:val="Heading 5 Char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694">
    <w:name w:val="Heading 6 Char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695">
    <w:name w:val="Heading 7 Char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>
    <w:name w:val="Heading 8 Char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697">
    <w:name w:val="Heading 9 Char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698">
    <w:name w:val="Title Char"/>
    <w:basedOn w:val="721"/>
    <w:link w:val="735"/>
    <w:uiPriority w:val="10"/>
    <w:rPr>
      <w:sz w:val="48"/>
      <w:szCs w:val="48"/>
    </w:rPr>
  </w:style>
  <w:style w:type="character" w:styleId="699">
    <w:name w:val="Subtitle Char"/>
    <w:basedOn w:val="721"/>
    <w:link w:val="737"/>
    <w:uiPriority w:val="11"/>
    <w:rPr>
      <w:sz w:val="24"/>
      <w:szCs w:val="24"/>
    </w:rPr>
  </w:style>
  <w:style w:type="character" w:styleId="700">
    <w:name w:val="Quote Char"/>
    <w:link w:val="739"/>
    <w:uiPriority w:val="29"/>
    <w:rPr>
      <w:i/>
    </w:rPr>
  </w:style>
  <w:style w:type="character" w:styleId="701">
    <w:name w:val="Intense Quote Char"/>
    <w:link w:val="741"/>
    <w:uiPriority w:val="30"/>
    <w:rPr>
      <w:i/>
    </w:rPr>
  </w:style>
  <w:style w:type="character" w:styleId="702">
    <w:name w:val="Header Char"/>
    <w:basedOn w:val="721"/>
    <w:link w:val="743"/>
    <w:uiPriority w:val="99"/>
  </w:style>
  <w:style w:type="character" w:styleId="703">
    <w:name w:val="Footer Char"/>
    <w:basedOn w:val="721"/>
    <w:link w:val="745"/>
    <w:uiPriority w:val="99"/>
  </w:style>
  <w:style w:type="paragraph" w:styleId="704">
    <w:name w:val="Caption"/>
    <w:basedOn w:val="711"/>
    <w:next w:val="7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5">
    <w:name w:val="Caption Char"/>
    <w:basedOn w:val="704"/>
    <w:link w:val="745"/>
    <w:uiPriority w:val="99"/>
  </w:style>
  <w:style w:type="character" w:styleId="706">
    <w:name w:val="Footnote Text Char"/>
    <w:link w:val="874"/>
    <w:uiPriority w:val="99"/>
    <w:rPr>
      <w:sz w:val="18"/>
    </w:rPr>
  </w:style>
  <w:style w:type="paragraph" w:styleId="707">
    <w:name w:val="endnote text"/>
    <w:basedOn w:val="711"/>
    <w:link w:val="708"/>
    <w:uiPriority w:val="99"/>
    <w:semiHidden/>
    <w:unhideWhenUsed/>
    <w:rPr>
      <w:sz w:val="20"/>
    </w:rPr>
    <w:pPr>
      <w:spacing w:lineRule="auto" w:line="240" w:after="0"/>
    </w:pPr>
  </w:style>
  <w:style w:type="character" w:styleId="708">
    <w:name w:val="Endnote Text Char"/>
    <w:link w:val="707"/>
    <w:uiPriority w:val="99"/>
    <w:rPr>
      <w:sz w:val="20"/>
    </w:rPr>
  </w:style>
  <w:style w:type="character" w:styleId="709">
    <w:name w:val="endnote reference"/>
    <w:basedOn w:val="721"/>
    <w:uiPriority w:val="99"/>
    <w:semiHidden/>
    <w:unhideWhenUsed/>
    <w:rPr>
      <w:vertAlign w:val="superscript"/>
    </w:rPr>
  </w:style>
  <w:style w:type="paragraph" w:styleId="710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3">
    <w:name w:val="Heading 2"/>
    <w:basedOn w:val="711"/>
    <w:next w:val="711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4">
    <w:name w:val="Heading 3"/>
    <w:basedOn w:val="711"/>
    <w:next w:val="711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next w:val="711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next w:val="711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next w:val="711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next w:val="711"/>
    <w:link w:val="7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basedOn w:val="721"/>
    <w:link w:val="712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basedOn w:val="721"/>
    <w:link w:val="713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71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711"/>
    <w:next w:val="711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basedOn w:val="721"/>
    <w:link w:val="735"/>
    <w:uiPriority w:val="10"/>
    <w:rPr>
      <w:sz w:val="48"/>
      <w:szCs w:val="48"/>
    </w:rPr>
  </w:style>
  <w:style w:type="paragraph" w:styleId="737">
    <w:name w:val="Subtitle"/>
    <w:basedOn w:val="711"/>
    <w:next w:val="711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721"/>
    <w:link w:val="737"/>
    <w:uiPriority w:val="11"/>
    <w:rPr>
      <w:sz w:val="24"/>
      <w:szCs w:val="24"/>
    </w:rPr>
  </w:style>
  <w:style w:type="paragraph" w:styleId="739">
    <w:name w:val="Quote"/>
    <w:basedOn w:val="711"/>
    <w:next w:val="711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1"/>
    <w:next w:val="711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1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basedOn w:val="721"/>
    <w:link w:val="743"/>
    <w:uiPriority w:val="99"/>
  </w:style>
  <w:style w:type="paragraph" w:styleId="745">
    <w:name w:val="Footer"/>
    <w:basedOn w:val="711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Нижний колонтитул Знак"/>
    <w:basedOn w:val="721"/>
    <w:link w:val="745"/>
    <w:uiPriority w:val="99"/>
  </w:style>
  <w:style w:type="table" w:styleId="747">
    <w:name w:val="Table Grid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711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1"/>
    <w:uiPriority w:val="99"/>
    <w:unhideWhenUsed/>
    <w:rPr>
      <w:vertAlign w:val="superscript"/>
    </w:rPr>
  </w:style>
  <w:style w:type="paragraph" w:styleId="877">
    <w:name w:val="toc 1"/>
    <w:basedOn w:val="711"/>
    <w:next w:val="711"/>
    <w:uiPriority w:val="39"/>
    <w:unhideWhenUsed/>
    <w:pPr>
      <w:spacing w:after="57"/>
    </w:pPr>
  </w:style>
  <w:style w:type="paragraph" w:styleId="878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79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0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1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2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3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4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5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 w:customStyle="1">
    <w:name w:val="docdata"/>
    <w:basedOn w:val="711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8">
    <w:name w:val="Normal (Web)"/>
    <w:basedOn w:val="71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89" w:customStyle="1">
    <w:name w:val="rvps2"/>
    <w:basedOn w:val="71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711"/>
    <w:link w:val="8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1" w:customStyle="1">
    <w:name w:val="Текст выноски Знак"/>
    <w:basedOn w:val="721"/>
    <w:link w:val="890"/>
    <w:uiPriority w:val="99"/>
    <w:semiHidden/>
    <w:rPr>
      <w:rFonts w:ascii="Tahoma" w:hAnsi="Tahoma" w:cs="Tahoma"/>
      <w:sz w:val="16"/>
      <w:szCs w:val="16"/>
    </w:rPr>
  </w:style>
  <w:style w:type="character" w:styleId="892" w:customStyle="1">
    <w:name w:val="rvts9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https://zakon.rada.gov.ua/laws/show/1487-2022-%D0%BF" TargetMode="External"/><Relationship Id="rId15" Type="http://schemas.openxmlformats.org/officeDocument/2006/relationships/hyperlink" Target="https://zakon.rada.gov.ua/laws/show/1487-2022-%D0%BF" TargetMode="External"/><Relationship Id="rId16" Type="http://schemas.openxmlformats.org/officeDocument/2006/relationships/hyperlink" Target="https://zakon.rada.gov.ua/laws/show/1487-2022-%D0%BF" TargetMode="External"/><Relationship Id="rId17" Type="http://schemas.openxmlformats.org/officeDocument/2006/relationships/hyperlink" Target="https://zakon.rada.gov.ua/laws/show/1487-2022-%D0%BF" TargetMode="External"/><Relationship Id="rId18" Type="http://schemas.openxmlformats.org/officeDocument/2006/relationships/hyperlink" Target="https://zakon.rada.gov.ua/laws/show/1487-2022-%D0%BF" TargetMode="External"/><Relationship Id="rId19" Type="http://schemas.openxmlformats.org/officeDocument/2006/relationships/hyperlink" Target="https://zakon.rada.gov.ua/laws/show/1487-2022-%D0%BF" TargetMode="External"/><Relationship Id="rId20" Type="http://schemas.openxmlformats.org/officeDocument/2006/relationships/hyperlink" Target="https://zakon.rada.gov.ua/laws/show/1487-2022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9EC03A1-9311-4787-8EF1-DE6E2F56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13</cp:revision>
  <dcterms:created xsi:type="dcterms:W3CDTF">2023-09-07T08:39:00Z</dcterms:created>
  <dcterms:modified xsi:type="dcterms:W3CDTF">2023-09-08T07:41:01Z</dcterms:modified>
</cp:coreProperties>
</file>