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серпня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540</w:t>
      </w:r>
      <w:r/>
    </w:p>
    <w:p>
      <w:pPr>
        <w:rPr>
          <w:rFonts w:ascii="Times New Roman" w:hAnsi="Times New Roman"/>
          <w:color w:val="FF0066"/>
          <w:sz w:val="28"/>
          <w:szCs w:val="28"/>
        </w:rPr>
      </w:pPr>
      <w:r>
        <w:rPr>
          <w:rFonts w:ascii="Times New Roman" w:hAnsi="Times New Roman"/>
          <w:color w:val="FF0066"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типової угоди </w:t>
      </w:r>
      <w:r>
        <w:rPr>
          <w:rFonts w:ascii="Times New Roman" w:hAnsi="Times New Roman"/>
          <w:b/>
          <w:sz w:val="28"/>
          <w:szCs w:val="28"/>
        </w:rPr>
        <w:t xml:space="preserve">про соціальне партнерство </w:t>
      </w:r>
      <w:r>
        <w:rPr>
          <w:b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З метою об'єднання зусиль Менської міської ради і суб’єктів господарювання для поліпшення життя та розвитку Менської міської територіальної громади, підвищення якості життя мешканців шляхом успішного соціального, економічного та культурного розвитку </w:t>
      </w:r>
      <w:r>
        <w:rPr>
          <w:color w:val="000000"/>
          <w:sz w:val="28"/>
          <w:szCs w:val="28"/>
          <w:lang w:val="uk-UA" w:eastAsia="ru-RU"/>
        </w:rPr>
        <w:t xml:space="preserve">громади, для досягнення стабільного економічного розвитку території громади, створення сприятливих умов діяльності суб'єктів господарювання, забезпечення спільного впливу на соціально-культурні, фінансово-економічні і суспільно-політичні процеси в громаді,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</w:t>
      </w:r>
      <w:r>
        <w:rPr>
          <w:sz w:val="28"/>
          <w:szCs w:val="28"/>
          <w:lang w:val="uk-UA" w:eastAsia="uk-UA"/>
        </w:rPr>
        <w:t xml:space="preserve">ідповідно до Закону України «Про місцеве самоврядування в Україні»,  ст. 177 Господарського кодексу України</w:t>
      </w:r>
      <w:r>
        <w:rPr>
          <w:sz w:val="28"/>
          <w:szCs w:val="28"/>
          <w:lang w:val="uk-UA"/>
        </w:rPr>
        <w:t xml:space="preserve">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/>
          <w:sz w:val="28"/>
          <w:szCs w:val="28"/>
          <w:lang w:eastAsia="uk-UA"/>
        </w:rPr>
        <w:t xml:space="preserve">Затвердити типову Угоду про соціальне партнерство, що додається.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/>
          <w:sz w:val="28"/>
          <w:szCs w:val="28"/>
          <w:lang w:eastAsia="uk-UA"/>
        </w:rPr>
        <w:t xml:space="preserve"> Ю</w:t>
      </w:r>
      <w:r>
        <w:rPr>
          <w:rFonts w:ascii="Times New Roman" w:hAnsi="Times New Roman"/>
          <w:sz w:val="28"/>
          <w:szCs w:val="28"/>
          <w:lang w:eastAsia="uk-UA"/>
        </w:rPr>
        <w:t xml:space="preserve">ридичн</w:t>
      </w:r>
      <w:r>
        <w:rPr>
          <w:rFonts w:ascii="Times New Roman" w:hAnsi="Times New Roman"/>
          <w:sz w:val="28"/>
          <w:szCs w:val="28"/>
          <w:lang w:eastAsia="uk-UA"/>
        </w:rPr>
        <w:t xml:space="preserve">ому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відділ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 Менської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міської ради забезпечити підготовку угод </w:t>
      </w:r>
      <w:r>
        <w:rPr>
          <w:rFonts w:ascii="Times New Roman" w:hAnsi="Times New Roman"/>
          <w:sz w:val="28"/>
          <w:szCs w:val="28"/>
          <w:lang w:eastAsia="uk-UA"/>
        </w:rPr>
        <w:t xml:space="preserve">про соціальне партнерство з суб’єктами господарювання, що провадять свою діяльність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eastAsia="uk-UA"/>
        </w:rPr>
        <w:t xml:space="preserve"> і виявили бажання укласти вказану угоду, та подання їх на погодження сесії міської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Відділу документування та забезпечення діяльності апарату ради Менської міської ради </w:t>
      </w:r>
      <w:r>
        <w:rPr>
          <w:rFonts w:ascii="Times New Roman" w:hAnsi="Times New Roman"/>
          <w:sz w:val="28"/>
          <w:szCs w:val="28"/>
          <w:lang w:eastAsia="en-US"/>
        </w:rPr>
        <w:t xml:space="preserve">забезпечити оприлюднення цього рішення шляхом розміщення на офіційному сайті Менської міської ради.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0C2647F-8C44-4B0E-B145-AFF682A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2023-06-20T14:17:00Z</dcterms:created>
  <dcterms:modified xsi:type="dcterms:W3CDTF">2023-08-28T12:39:54Z</dcterms:modified>
</cp:coreProperties>
</file>