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9"/>
        <w:ind w:firstLine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b/>
          <w:color w:val="000000"/>
          <w:sz w:val="28"/>
          <w:szCs w:val="28"/>
          <w:highlight w:val="none"/>
          <w:lang w:bidi="hi-IN" w:eastAsia="hi-IN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  <w:sz w:val="16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79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0" w:firstLine="0"/>
        <w:spacing w:after="0" w:before="0"/>
        <w:tabs>
          <w:tab w:val="left" w:pos="4394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31 липня 2023 року</w:t>
        <w:tab/>
        <w:t xml:space="preserve">   м. Мена                          № 204</w:t>
      </w:r>
      <w:r/>
    </w:p>
    <w:p>
      <w:pPr>
        <w:ind w:left="0" w:right="4962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32"/>
        </w:rPr>
        <w:t xml:space="preserve"> </w:t>
      </w:r>
      <w:r/>
    </w:p>
    <w:p>
      <w:pPr>
        <w:ind w:left="0" w:right="-1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</w:t>
      </w:r>
      <w:r/>
    </w:p>
    <w:p>
      <w:pPr>
        <w:ind w:left="993" w:right="4923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голови правління АКЦІОНЕРНОГО ТОВАРИСТВА «ОБЛТЕПЛОКОМУНЕНЕРГО» Олексія ЩЕРБИНИ про встановлення тарифів на теплову енергію, її виробництво, транспортування та постачання, послуги з постачання теплової енергії, враховуючи постанову Каб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ту Міністрів України від 01.06.2011 р. № 869 «Про забезпечення єдиного підходу до формування тарифів на комунальні послуги», Закон України «Про заходи, спрямовані на врегулювання заборгованості теплопостачальних та теплогенеруючих організацій та підприємст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централізованого водопостачання і водовідведення»; керуючись Законом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ст. 20 Закону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України «Про теплопостачання», ст. 4, 10 Закону України «Про житлово-комунальні послуги», ст. 28 Закону України «Про місцеве самоврядування в Україні», виконавчий комітет Менської міської ради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Узяти до відома, що економічно обґрунтовані тарифи на теплову енергію, які визначаються як сума тарифів на виробництво теплової енергії, транспортування теплової енергії  та постачання теплової енергії  АКЦІОНЕРНОГО ТОВАРИСТВА «ОБЛТЕПЛОКОМУНЕНЕРГО», для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потреб населення складають: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тариф на теплову енергію – 2 642,99 грн/Гкал (без ПДВ) за такими складовими: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тариф на виробництво теплової енергії – 1 869,30 грн/Гкал (без ПДВ);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тариф на транспортування теплової енергії – 755,65 грн/Гкал (без ПДВ); тариф на постачання теплової енергії – 18,04 грн/Гкал (без ПДВ)</w:t>
      </w:r>
      <w:r>
        <w:rPr>
          <w:rFonts w:ascii="Calibri" w:hAnsi="Calibri" w:cs="Calibri" w:eastAsia="Calibri"/>
          <w:color w:val="000000"/>
          <w:sz w:val="22"/>
        </w:rPr>
        <w:t xml:space="preserve">;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тариф на послугу з постачання теплової енергії - 3 171,59 грн/Гкал (з ПДВ);</w:t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after="0" w:before="0"/>
        <w:rPr>
          <w:b w:val="false"/>
          <w:i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Враховуючи норми Закону України від 29.07.2022 № 2479-ІХ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u w:val="single"/>
        </w:rPr>
        <w:t xml:space="preserve">протягом дії воєнного стану в Україні та шести місяців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 після місяця, в якому воєнний стан буде припинено або скасовано,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u w:val="single"/>
        </w:rPr>
        <w:t xml:space="preserve">встановити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тарифи на рівні тарифів, що застосовувалися станом на 24 лютого 2022 року:</w:t>
      </w:r>
      <w:r>
        <w:rPr>
          <w:b w:val="false"/>
          <w:i w:val="false"/>
        </w:rPr>
      </w:r>
      <w:r/>
    </w:p>
    <w:p>
      <w:pPr>
        <w:ind w:left="0" w:right="0" w:firstLine="567"/>
        <w:jc w:val="both"/>
        <w:spacing w:after="0" w:before="0"/>
        <w:rPr>
          <w:b w:val="false"/>
          <w:i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для потреб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  <w:u w:val="single"/>
        </w:rPr>
        <w:t xml:space="preserve">населення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  <w:t xml:space="preserve"> у наступних розмірах: </w:t>
      </w:r>
      <w:r>
        <w:rPr>
          <w:b w:val="false"/>
          <w:i w:val="fals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тариф на теплову енергію - 1 770,98 грн/Гкал (без ПДВ) за такими складовими: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тариф на виробництво теплової енергії - 1 316,70 грн/Гкал (без ПДВ);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тариф на транспортування теплової енергії - 441,58 грн/Гкал (без ПДВ);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тариф на постачання теплової енергії - 12,70 грн/Гкал (без ПДВ);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тариф на послуги з постачання теплової енергії (централізоване опалення) - 1737,61 грн/Гкал (з ПДВ).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Компенсація різниці між встановленим розміром та економічно обґрунтованими витратами  на виробництво в тарифах на теплову енергію, її виробництво, транспортування та постачання, послуги з постачання теплової енергії здійснюється в порядку встановленому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законодавством, враховуючи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 норми </w:t>
      </w:r>
      <w:hyperlink r:id="rId13" w:tooltip="https://zakon.rada.gov.ua/laws/show/1730-19" w:history="1">
        <w:r>
          <w:rPr>
            <w:rStyle w:val="839"/>
            <w:rFonts w:ascii="Times New Roman" w:hAnsi="Times New Roman" w:cs="Times New Roman" w:eastAsia="Times New Roman"/>
            <w:color w:val="000000"/>
            <w:sz w:val="28"/>
            <w:u w:val="none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“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” за рахунок видатків державного бюджету.</w:t>
      </w:r>
      <w:r/>
    </w:p>
    <w:p>
      <w:pPr>
        <w:ind w:left="0" w:right="0" w:firstLine="567"/>
        <w:jc w:val="both"/>
        <w:spacing w:after="0" w:before="0"/>
        <w:tabs>
          <w:tab w:val="left" w:pos="567" w:leader="none"/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Тарифи на теплову енергію, послуги з постачання теплової енергії, встановлені цим рішенням, вводяться в дію з 01 жовтня 2023 року.</w:t>
      </w:r>
      <w:r/>
    </w:p>
    <w:p>
      <w:pPr>
        <w:ind w:left="0" w:right="0" w:firstLine="567"/>
        <w:jc w:val="both"/>
        <w:spacing w:after="0" w:before="0"/>
        <w:tabs>
          <w:tab w:val="left" w:pos="567" w:leader="none"/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Тарифи, встановлені п. 2 цього рішення, застосовуються протягом дії воєнного стану в Україні та шести місяців після місяця, в якому воєнний стан буде припинено або скасовано.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both"/>
        <w:spacing w:after="0" w:before="0"/>
        <w:tabs>
          <w:tab w:val="left" w:pos="567" w:leader="none"/>
          <w:tab w:val="left" w:pos="1134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разі закінчення дії тарифів, встановлених пунктом 2 даного рішення, по 30 вересня 2024 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оку, в зв'язку з припиненням чи  скасуванням воєнного стану, розглянути питання про встановлення економічно обґрунтованих тарифів на теплову енергію, її виробництво, транспортування та постачання, послуги з постачання теплової енергії та введення їх в дію.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left" w:pos="567" w:leader="none"/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Структури тарифів на теплову енергію, її виробництво, транспортування,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постачання, встановлених АКЦІОНЕРНОМУ ТОВАРИСТВУ «ОБЛТЕПЛОКОМУНЕНЕРГО» пунктом 1 цього рішення, визначено згідно з додатками 1-5 до цього рішення.</w:t>
      </w:r>
      <w:r/>
    </w:p>
    <w:p>
      <w:pPr>
        <w:ind w:left="0" w:right="0" w:firstLine="567"/>
        <w:jc w:val="both"/>
        <w:spacing w:lineRule="atLeast" w:line="253" w:after="0" w:before="0"/>
        <w:tabs>
          <w:tab w:val="left" w:pos="567" w:leader="none"/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АКЦІОНЕРНОМУ ТОВАРИСТВУ «ОБЛТЕПЛОКОМУНЕНЕРГО» повідомити споживачів про зміну тарифів на комунальні послуги у період, що не перевищує 15 днів з дати введення їх у дію.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Рішення набирає чинності з дня його оприлюднення та діє до 30 вересня 2024 року включно.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Контроль за виконанням рішення покласти на заступника міського голови з питань діяльності виконавчих органів ради С.М. Гаєвого.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after="0" w:before="0"/>
        <w:tabs>
          <w:tab w:val="left" w:pos="680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Геннадій ПРИМАКОВ</w:t>
      </w:r>
      <w:r/>
    </w:p>
    <w:p>
      <w:pPr>
        <w:pStyle w:val="68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>
    <w:name w:val="Heading 1"/>
    <w:basedOn w:val="857"/>
    <w:next w:val="857"/>
    <w:link w:val="680"/>
    <w:qFormat/>
    <w:uiPriority w:val="9"/>
    <w:pPr>
      <w:jc w:val="center"/>
      <w:spacing w:lineRule="auto" w:line="240" w:after="0"/>
      <w:widowControl w:val="off"/>
    </w:pPr>
  </w:style>
  <w:style w:type="character" w:styleId="680">
    <w:name w:val="Heading 1 Char"/>
    <w:link w:val="679"/>
    <w:uiPriority w:val="9"/>
  </w:style>
  <w:style w:type="paragraph" w:styleId="681">
    <w:name w:val="Heading 2"/>
    <w:basedOn w:val="857"/>
    <w:next w:val="857"/>
    <w:link w:val="68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2">
    <w:name w:val="Heading 2 Char"/>
    <w:link w:val="68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3">
    <w:name w:val="Heading 3"/>
    <w:basedOn w:val="857"/>
    <w:next w:val="857"/>
    <w:link w:val="68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4">
    <w:name w:val="Heading 3 Char"/>
    <w:link w:val="68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5">
    <w:name w:val="Heading 4"/>
    <w:basedOn w:val="857"/>
    <w:next w:val="857"/>
    <w:link w:val="686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6">
    <w:name w:val="Heading 4 Char"/>
    <w:link w:val="685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87">
    <w:name w:val="Heading 5"/>
    <w:basedOn w:val="857"/>
    <w:next w:val="857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8">
    <w:name w:val="Heading 5 Char"/>
    <w:basedOn w:val="858"/>
    <w:link w:val="687"/>
    <w:uiPriority w:val="9"/>
    <w:rPr>
      <w:rFonts w:ascii="Arial" w:hAnsi="Arial" w:cs="Arial" w:eastAsia="Arial"/>
      <w:b/>
      <w:bCs/>
      <w:sz w:val="24"/>
      <w:szCs w:val="24"/>
    </w:rPr>
  </w:style>
  <w:style w:type="paragraph" w:styleId="689">
    <w:name w:val="Heading 6"/>
    <w:basedOn w:val="857"/>
    <w:next w:val="857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0">
    <w:name w:val="Heading 6 Char"/>
    <w:basedOn w:val="858"/>
    <w:link w:val="689"/>
    <w:uiPriority w:val="9"/>
    <w:rPr>
      <w:rFonts w:ascii="Arial" w:hAnsi="Arial" w:cs="Arial" w:eastAsia="Arial"/>
      <w:b/>
      <w:bCs/>
      <w:sz w:val="22"/>
      <w:szCs w:val="22"/>
    </w:rPr>
  </w:style>
  <w:style w:type="paragraph" w:styleId="691">
    <w:name w:val="Heading 7"/>
    <w:basedOn w:val="857"/>
    <w:next w:val="857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2">
    <w:name w:val="Heading 7 Char"/>
    <w:basedOn w:val="858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7"/>
    <w:next w:val="857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4">
    <w:name w:val="Heading 8 Char"/>
    <w:basedOn w:val="858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7"/>
    <w:next w:val="857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>
    <w:name w:val="Heading 9 Char"/>
    <w:basedOn w:val="858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List Paragraph"/>
    <w:basedOn w:val="857"/>
    <w:qFormat/>
    <w:uiPriority w:val="34"/>
    <w:pPr>
      <w:contextualSpacing w:val="true"/>
      <w:ind w:left="720"/>
    </w:pPr>
  </w:style>
  <w:style w:type="paragraph" w:styleId="698">
    <w:name w:val="No Spacing"/>
    <w:basedOn w:val="85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9">
    <w:name w:val="Title"/>
    <w:basedOn w:val="857"/>
    <w:next w:val="857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858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858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>
    <w:name w:val="Header Char"/>
    <w:basedOn w:val="858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Footer Char"/>
    <w:basedOn w:val="858"/>
    <w:link w:val="709"/>
    <w:uiPriority w:val="99"/>
  </w:style>
  <w:style w:type="paragraph" w:styleId="711">
    <w:name w:val="Caption"/>
    <w:basedOn w:val="857"/>
    <w:next w:val="8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s://zakon.rada.gov.ua/laws/show/1730-1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11</cp:revision>
  <dcterms:created xsi:type="dcterms:W3CDTF">2019-03-29T20:09:00Z</dcterms:created>
  <dcterms:modified xsi:type="dcterms:W3CDTF">2023-08-02T14:27:24Z</dcterms:modified>
</cp:coreProperties>
</file>