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675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675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шоста</w:t>
      </w:r>
      <w:r>
        <w:rPr>
          <w:rFonts w:ascii="Times New Roman" w:hAnsi="Times New Roman"/>
          <w:b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sz w:val="16"/>
          <w:szCs w:val="28"/>
        </w:rPr>
      </w:pPr>
      <w:r>
        <w:rPr>
          <w:rFonts w:eastAsia="Lucida Sans Unicode"/>
          <w:b/>
          <w:sz w:val="16"/>
          <w:szCs w:val="28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675"/>
        <w:jc w:val="center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</w:r>
      <w:r>
        <w:rPr>
          <w:sz w:val="12"/>
        </w:rPr>
      </w:r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22 червня</w:t>
      </w:r>
      <w:r>
        <w:rPr>
          <w:rFonts w:eastAsia="Lucida Sans Unicode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sz w:val="28"/>
          <w:szCs w:val="28"/>
          <w:lang w:bidi="hi-IN" w:eastAsia="hi-IN"/>
        </w:rPr>
        <w:t xml:space="preserve">3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sz w:val="28"/>
          <w:szCs w:val="28"/>
          <w:lang w:bidi="hi-IN" w:eastAsia="hi-IN"/>
        </w:rPr>
        <w:t xml:space="preserve">№ </w:t>
      </w:r>
      <w:r>
        <w:rPr>
          <w:rFonts w:eastAsia="Lucida Sans Unicode"/>
          <w:sz w:val="28"/>
          <w:szCs w:val="28"/>
          <w:lang w:val="uk-UA" w:bidi="hi-IN" w:eastAsia="hi-IN"/>
        </w:rPr>
        <w:t xml:space="preserve">375</w:t>
      </w:r>
      <w:r/>
    </w:p>
    <w:p>
      <w:pPr>
        <w:jc w:val="center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</w:r>
      <w:r/>
    </w:p>
    <w:p>
      <w:pPr>
        <w:ind w:left="0" w:right="6429" w:firstLine="0"/>
        <w:jc w:val="both"/>
        <w:rPr>
          <w:b/>
          <w:sz w:val="28"/>
          <w:szCs w:val="28"/>
          <w:lang w:val="uk-UA"/>
        </w:rPr>
      </w:pPr>
      <w:r/>
      <w:bookmarkStart w:id="2" w:name="_Toc502337417"/>
      <w:r>
        <w:rPr>
          <w:rFonts w:eastAsia="Batang"/>
          <w:b/>
          <w:bCs/>
          <w:iCs/>
          <w:sz w:val="28"/>
          <w:szCs w:val="28"/>
          <w:lang w:val="uk-UA"/>
        </w:rPr>
        <w:t xml:space="preserve">Про внесення змін до </w:t>
      </w:r>
      <w:bookmarkEnd w:id="2"/>
      <w:r>
        <w:rPr>
          <w:b/>
          <w:bCs/>
          <w:sz w:val="28"/>
          <w:szCs w:val="28"/>
          <w:lang w:val="uk-UA" w:eastAsia="uk-UA"/>
        </w:rPr>
        <w:t xml:space="preserve">Програм</w:t>
      </w:r>
      <w:r>
        <w:rPr>
          <w:b/>
          <w:bCs/>
          <w:sz w:val="28"/>
          <w:szCs w:val="28"/>
          <w:lang w:val="uk-UA" w:eastAsia="uk-UA"/>
        </w:rPr>
        <w:t xml:space="preserve"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/>
        </w:rPr>
        <w:t xml:space="preserve">підтримки та розвитку обдарованої </w:t>
      </w:r>
      <w:r>
        <w:rPr>
          <w:b/>
          <w:sz w:val="28"/>
          <w:szCs w:val="28"/>
          <w:lang w:val="uk-UA"/>
        </w:rPr>
        <w:t xml:space="preserve">учнівської молоді та творчих педагогів </w:t>
      </w:r>
      <w:r>
        <w:rPr>
          <w:b/>
          <w:bCs/>
          <w:iCs/>
          <w:sz w:val="28"/>
          <w:szCs w:val="28"/>
          <w:lang w:val="uk-UA" w:eastAsia="uk-UA"/>
        </w:rPr>
        <w:t xml:space="preserve">на 2022–2024 роки</w:t>
      </w:r>
      <w:r/>
    </w:p>
    <w:p>
      <w:pPr>
        <w:pStyle w:val="673"/>
        <w:ind w:right="5153"/>
        <w:jc w:val="both"/>
        <w:shd w:val="clear" w:fill="FFFFFF" w:color="auto"/>
        <w:rPr>
          <w:rFonts w:ascii="Times New Roman" w:hAnsi="Times New Roman" w:cs="Times New Roman" w:eastAsia="Calibri"/>
          <w:b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iCs/>
          <w:sz w:val="28"/>
          <w:szCs w:val="28"/>
        </w:rPr>
      </w:r>
      <w:r/>
    </w:p>
    <w:p>
      <w:pPr>
        <w:pStyle w:val="673"/>
        <w:ind w:right="0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 створення оптимальних умов для виявлення обдарованої молоді і надання їй підтримки у розвитку творчого потенціалу,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повну загальну середню освіту»,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надання системної підтримки обдарованій молоді та творчи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а</w:t>
      </w:r>
      <w:r/>
    </w:p>
    <w:p>
      <w:pPr>
        <w:pStyle w:val="673"/>
        <w:ind w:right="50" w:firstLine="567"/>
        <w:jc w:val="both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right="50"/>
        <w:jc w:val="both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ВИРІШИЛА:</w:t>
      </w:r>
      <w:r/>
    </w:p>
    <w:p>
      <w:pPr>
        <w:ind w:right="0" w:firstLine="567"/>
        <w:jc w:val="both"/>
        <w:rPr>
          <w:bCs/>
          <w:sz w:val="28"/>
          <w:szCs w:val="28"/>
          <w:lang w:val="uk-UA" w:eastAsia="uk-UA"/>
        </w:rPr>
        <w:suppressLineNumbers w:val="0"/>
      </w:pPr>
      <w:r>
        <w:rPr>
          <w:bCs/>
          <w:iCs/>
          <w:sz w:val="28"/>
          <w:szCs w:val="28"/>
          <w:lang w:val="uk-UA" w:eastAsia="uk-UA"/>
        </w:rPr>
        <w:t xml:space="preserve">1. </w:t>
      </w:r>
      <w:r>
        <w:rPr>
          <w:bCs/>
          <w:iCs/>
          <w:sz w:val="28"/>
          <w:szCs w:val="28"/>
          <w:lang w:val="uk-UA" w:eastAsia="uk-UA"/>
        </w:rPr>
        <w:t xml:space="preserve">Внести</w:t>
      </w:r>
      <w:r>
        <w:rPr>
          <w:bCs/>
          <w:iCs/>
          <w:sz w:val="28"/>
          <w:szCs w:val="28"/>
          <w:lang w:val="uk-UA" w:eastAsia="uk-UA"/>
        </w:rPr>
        <w:t xml:space="preserve"> зміни</w:t>
      </w:r>
      <w:r>
        <w:rPr>
          <w:rFonts w:eastAsia="Batang"/>
          <w:bCs/>
          <w:iCs/>
          <w:sz w:val="28"/>
          <w:szCs w:val="28"/>
          <w:lang w:val="uk-UA"/>
        </w:rPr>
        <w:t xml:space="preserve"> до </w:t>
      </w:r>
      <w:r>
        <w:rPr>
          <w:bCs/>
          <w:sz w:val="28"/>
          <w:szCs w:val="28"/>
          <w:lang w:val="uk-UA" w:eastAsia="uk-UA"/>
        </w:rPr>
        <w:t xml:space="preserve">Програми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підтримки та розвитку обдарованої учнівської молоді  та творчих </w:t>
      </w:r>
      <w:r>
        <w:rPr>
          <w:sz w:val="28"/>
          <w:szCs w:val="28"/>
          <w:lang w:val="uk-UA"/>
        </w:rPr>
        <w:t xml:space="preserve">педагогів </w:t>
      </w:r>
      <w:r>
        <w:rPr>
          <w:bCs/>
          <w:iCs/>
          <w:sz w:val="28"/>
          <w:szCs w:val="28"/>
          <w:lang w:val="uk-UA" w:eastAsia="uk-UA"/>
        </w:rPr>
        <w:t xml:space="preserve">на 2022 – 2024  роки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rFonts w:eastAsia="Batang"/>
          <w:bCs/>
          <w:iCs/>
          <w:sz w:val="28"/>
          <w:szCs w:val="28"/>
          <w:lang w:val="uk-UA"/>
        </w:rPr>
        <w:t xml:space="preserve"> рішенням п’ятнадцятої  сесії восьмого скликання Менської міської ради від 09 грудня 2021 </w:t>
      </w:r>
      <w:r>
        <w:rPr>
          <w:bCs/>
          <w:sz w:val="28"/>
          <w:szCs w:val="28"/>
          <w:lang w:val="uk-UA" w:eastAsia="uk-UA"/>
        </w:rPr>
        <w:t xml:space="preserve">року № 822:</w:t>
      </w:r>
      <w:r/>
    </w:p>
    <w:p>
      <w:pPr>
        <w:ind w:firstLine="709"/>
        <w:jc w:val="both"/>
        <w:spacing w:lineRule="auto" w:line="276"/>
        <w:rPr>
          <w:bCs/>
          <w:i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r>
        <w:rPr>
          <w:bCs/>
          <w:sz w:val="28"/>
          <w:szCs w:val="28"/>
          <w:lang w:val="uk-UA" w:eastAsia="uk-UA"/>
        </w:rPr>
        <w:t xml:space="preserve">пункт</w:t>
      </w:r>
      <w:r>
        <w:rPr>
          <w:bCs/>
          <w:sz w:val="28"/>
          <w:szCs w:val="28"/>
          <w:lang w:val="uk-UA" w:eastAsia="uk-UA"/>
        </w:rPr>
        <w:t xml:space="preserve">и 3,</w:t>
      </w:r>
      <w:r>
        <w:rPr>
          <w:bCs/>
          <w:sz w:val="28"/>
          <w:szCs w:val="28"/>
          <w:lang w:val="uk-UA" w:eastAsia="uk-UA"/>
        </w:rPr>
        <w:t xml:space="preserve"> 7 у розділі «</w:t>
      </w:r>
      <w:r>
        <w:rPr>
          <w:sz w:val="28"/>
          <w:szCs w:val="28"/>
          <w:lang w:val="uk-UA"/>
        </w:rPr>
        <w:t xml:space="preserve">Орієнтовне фінансове забезпечення Програми</w:t>
      </w:r>
      <w:r>
        <w:rPr>
          <w:sz w:val="28"/>
          <w:szCs w:val="28"/>
          <w:lang w:val="uk-UA"/>
        </w:rPr>
        <w:t xml:space="preserve">» викласти в новій редакції</w:t>
      </w:r>
      <w:r>
        <w:rPr>
          <w:bCs/>
          <w:iCs/>
          <w:sz w:val="28"/>
          <w:szCs w:val="28"/>
          <w:lang w:eastAsia="uk-UA"/>
        </w:rPr>
        <w:t xml:space="preserve">, </w:t>
      </w:r>
      <w:r>
        <w:rPr>
          <w:bCs/>
          <w:iCs/>
          <w:sz w:val="28"/>
          <w:szCs w:val="28"/>
          <w:lang w:eastAsia="uk-UA"/>
        </w:rPr>
        <w:t xml:space="preserve">згідно</w:t>
      </w:r>
      <w:r>
        <w:rPr>
          <w:bCs/>
          <w:iCs/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  <w:lang w:eastAsia="uk-UA"/>
        </w:rPr>
        <w:t xml:space="preserve">додатку</w:t>
      </w:r>
      <w:r>
        <w:rPr>
          <w:bCs/>
          <w:iCs/>
          <w:sz w:val="28"/>
          <w:szCs w:val="28"/>
          <w:lang w:val="uk-UA" w:eastAsia="uk-UA"/>
        </w:rPr>
        <w:t xml:space="preserve"> 1</w:t>
      </w:r>
      <w:r>
        <w:rPr>
          <w:bCs/>
          <w:iCs/>
          <w:sz w:val="28"/>
          <w:szCs w:val="28"/>
          <w:lang w:eastAsia="uk-UA"/>
        </w:rPr>
        <w:t xml:space="preserve"> до </w:t>
      </w:r>
      <w:r>
        <w:rPr>
          <w:bCs/>
          <w:iCs/>
          <w:sz w:val="28"/>
          <w:szCs w:val="28"/>
          <w:lang w:eastAsia="uk-UA"/>
        </w:rPr>
        <w:t xml:space="preserve">даного</w:t>
      </w:r>
      <w:r>
        <w:rPr>
          <w:bCs/>
          <w:iCs/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  <w:lang w:eastAsia="uk-UA"/>
        </w:rPr>
        <w:t xml:space="preserve">рішення</w:t>
      </w:r>
      <w:r>
        <w:rPr>
          <w:bCs/>
          <w:iCs/>
          <w:sz w:val="28"/>
          <w:szCs w:val="28"/>
          <w:lang w:eastAsia="uk-UA"/>
        </w:rPr>
        <w:t xml:space="preserve"> (</w:t>
      </w:r>
      <w:r>
        <w:rPr>
          <w:bCs/>
          <w:iCs/>
          <w:sz w:val="28"/>
          <w:szCs w:val="28"/>
          <w:lang w:eastAsia="uk-UA"/>
        </w:rPr>
        <w:t xml:space="preserve">додається</w:t>
      </w:r>
      <w:r>
        <w:rPr>
          <w:bCs/>
          <w:iCs/>
          <w:sz w:val="28"/>
          <w:szCs w:val="28"/>
          <w:lang w:eastAsia="uk-UA"/>
        </w:rPr>
        <w:t xml:space="preserve">);</w:t>
      </w:r>
      <w:r/>
    </w:p>
    <w:p>
      <w:pPr>
        <w:ind w:firstLine="709"/>
        <w:jc w:val="both"/>
        <w:spacing w:lineRule="auto" w:line="276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 xml:space="preserve">- </w:t>
      </w:r>
      <w:r>
        <w:rPr>
          <w:bCs/>
          <w:sz w:val="28"/>
          <w:szCs w:val="28"/>
          <w:lang w:eastAsia="uk-UA"/>
        </w:rPr>
        <w:t xml:space="preserve">розділ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«</w:t>
      </w:r>
      <w:r>
        <w:rPr>
          <w:bCs/>
          <w:sz w:val="28"/>
          <w:szCs w:val="28"/>
          <w:lang w:eastAsia="uk-UA"/>
        </w:rPr>
        <w:t xml:space="preserve">Одноразові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заохочувальні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премії</w:t>
      </w:r>
      <w:r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переможцям</w:t>
      </w:r>
      <w:r>
        <w:rPr>
          <w:bCs/>
          <w:sz w:val="28"/>
          <w:szCs w:val="28"/>
          <w:lang w:eastAsia="uk-UA"/>
        </w:rPr>
        <w:t xml:space="preserve"> та </w:t>
      </w:r>
      <w:r>
        <w:rPr>
          <w:bCs/>
          <w:sz w:val="28"/>
          <w:szCs w:val="28"/>
          <w:lang w:eastAsia="uk-UA"/>
        </w:rPr>
        <w:t xml:space="preserve">лауреатам  </w:t>
      </w:r>
      <w:r>
        <w:rPr>
          <w:bCs/>
          <w:sz w:val="28"/>
          <w:szCs w:val="28"/>
          <w:lang w:eastAsia="uk-UA"/>
        </w:rPr>
        <w:t xml:space="preserve">Всеукраїнського</w:t>
      </w:r>
      <w:r>
        <w:rPr>
          <w:bCs/>
          <w:sz w:val="28"/>
          <w:szCs w:val="28"/>
          <w:lang w:eastAsia="uk-UA"/>
        </w:rPr>
        <w:t xml:space="preserve"> конкурсу «Учитель року»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викласти в новій редакції</w:t>
      </w:r>
      <w:r>
        <w:rPr>
          <w:bCs/>
          <w:iCs/>
          <w:sz w:val="28"/>
          <w:szCs w:val="28"/>
          <w:lang w:eastAsia="uk-UA"/>
        </w:rPr>
        <w:t xml:space="preserve">, </w:t>
      </w:r>
      <w:r>
        <w:rPr>
          <w:bCs/>
          <w:iCs/>
          <w:sz w:val="28"/>
          <w:szCs w:val="28"/>
          <w:lang w:eastAsia="uk-UA"/>
        </w:rPr>
        <w:t xml:space="preserve">згідно</w:t>
      </w:r>
      <w:r>
        <w:rPr>
          <w:bCs/>
          <w:iCs/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  <w:lang w:eastAsia="uk-UA"/>
        </w:rPr>
        <w:t xml:space="preserve">додатку</w:t>
      </w:r>
      <w:r>
        <w:rPr>
          <w:bCs/>
          <w:iCs/>
          <w:sz w:val="28"/>
          <w:szCs w:val="28"/>
          <w:lang w:val="uk-UA" w:eastAsia="uk-UA"/>
        </w:rPr>
        <w:t xml:space="preserve"> 2</w:t>
      </w:r>
      <w:r>
        <w:rPr>
          <w:bCs/>
          <w:iCs/>
          <w:sz w:val="28"/>
          <w:szCs w:val="28"/>
          <w:lang w:eastAsia="uk-UA"/>
        </w:rPr>
        <w:t xml:space="preserve"> до </w:t>
      </w:r>
      <w:r>
        <w:rPr>
          <w:bCs/>
          <w:iCs/>
          <w:sz w:val="28"/>
          <w:szCs w:val="28"/>
          <w:lang w:eastAsia="uk-UA"/>
        </w:rPr>
        <w:t xml:space="preserve">даного</w:t>
      </w:r>
      <w:r>
        <w:rPr>
          <w:bCs/>
          <w:iCs/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  <w:lang w:eastAsia="uk-UA"/>
        </w:rPr>
        <w:t xml:space="preserve">рішення</w:t>
      </w:r>
      <w:r>
        <w:rPr>
          <w:bCs/>
          <w:iCs/>
          <w:sz w:val="28"/>
          <w:szCs w:val="28"/>
          <w:lang w:eastAsia="uk-UA"/>
        </w:rPr>
        <w:t xml:space="preserve"> (</w:t>
      </w:r>
      <w:r>
        <w:rPr>
          <w:bCs/>
          <w:iCs/>
          <w:sz w:val="28"/>
          <w:szCs w:val="28"/>
          <w:lang w:eastAsia="uk-UA"/>
        </w:rPr>
        <w:t xml:space="preserve">додається</w:t>
      </w:r>
      <w:r>
        <w:rPr>
          <w:bCs/>
          <w:iCs/>
          <w:sz w:val="28"/>
          <w:szCs w:val="28"/>
          <w:lang w:eastAsia="uk-UA"/>
        </w:rPr>
        <w:t xml:space="preserve">)</w:t>
      </w:r>
      <w:r>
        <w:rPr>
          <w:bCs/>
          <w:iCs/>
          <w:sz w:val="28"/>
          <w:szCs w:val="28"/>
          <w:lang w:val="uk-UA" w:eastAsia="uk-UA"/>
        </w:rPr>
        <w:t xml:space="preserve">.</w:t>
      </w:r>
      <w:r/>
    </w:p>
    <w:p>
      <w:pPr>
        <w:ind w:right="0" w:firstLine="567"/>
        <w:jc w:val="both"/>
        <w:rPr>
          <w:rFonts w:ascii="Times New Roman" w:hAnsi="Times New Roman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sz w:val="28"/>
          <w:lang w:val="uk-UA" w:bidi="en-US" w:eastAsia="uk-UA"/>
        </w:rPr>
        <w:t xml:space="preserve">Контроль </w:t>
      </w:r>
      <w:r>
        <w:rPr>
          <w:rFonts w:ascii="Times New Roman" w:hAnsi="Times New Roman"/>
          <w:sz w:val="28"/>
          <w:lang w:val="uk-UA" w:bidi="en-US"/>
        </w:rPr>
        <w:t xml:space="preserve">за виконанням рішення покласти на комісію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803" w:leader="none"/>
        </w:tabs>
        <w:rPr>
          <w:lang w:val="uk-UA"/>
        </w:rPr>
      </w:pPr>
      <w:r>
        <w:rPr>
          <w:rFonts w:eastAsia="Batang"/>
          <w:b/>
          <w:sz w:val="28"/>
          <w:szCs w:val="28"/>
        </w:rPr>
        <w:t xml:space="preserve">Міський</w:t>
      </w:r>
      <w:r>
        <w:rPr>
          <w:rFonts w:eastAsia="Batang"/>
          <w:b/>
          <w:sz w:val="28"/>
          <w:szCs w:val="28"/>
        </w:rPr>
        <w:t xml:space="preserve"> голова</w:t>
      </w:r>
      <w:r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 xml:space="preserve">Г</w:t>
      </w:r>
      <w:r>
        <w:rPr>
          <w:rFonts w:eastAsia="Batang"/>
          <w:b/>
          <w:sz w:val="28"/>
          <w:szCs w:val="28"/>
        </w:rPr>
        <w:t xml:space="preserve">еннадій</w:t>
      </w:r>
      <w:r>
        <w:rPr>
          <w:rFonts w:eastAsia="Batang"/>
          <w:b/>
          <w:sz w:val="28"/>
          <w:szCs w:val="28"/>
        </w:rPr>
        <w:t xml:space="preserve">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134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6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6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6"/>
    <w:link w:val="669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6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6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6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>
    <w:name w:val="Header"/>
    <w:basedOn w:val="665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Верхній колонтитул Знак"/>
    <w:basedOn w:val="666"/>
    <w:link w:val="66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71">
    <w:name w:val="Hyperlink"/>
    <w:basedOn w:val="666"/>
    <w:semiHidden/>
    <w:unhideWhenUsed/>
    <w:rPr>
      <w:color w:val="0000FF"/>
      <w:u w:val="single"/>
    </w:rPr>
  </w:style>
  <w:style w:type="paragraph" w:styleId="672">
    <w:name w:val="Normal (Web)"/>
    <w:basedOn w:val="665"/>
    <w:unhideWhenUsed/>
    <w:pPr>
      <w:spacing w:after="100" w:afterAutospacing="1" w:before="100" w:beforeAutospacing="1"/>
    </w:pPr>
  </w:style>
  <w:style w:type="paragraph" w:styleId="673">
    <w:name w:val="HTML Preformatted"/>
    <w:basedOn w:val="665"/>
    <w:link w:val="674"/>
    <w:uiPriority w:val="99"/>
    <w:unhideWhenUsed/>
    <w:rPr>
      <w:rFonts w:ascii="Courier New" w:hAnsi="Courier New" w:cs="Courier New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74" w:customStyle="1">
    <w:name w:val="Стандартний HTML Знак"/>
    <w:basedOn w:val="666"/>
    <w:link w:val="67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675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2023-06-20T08:56:00Z</dcterms:created>
  <dcterms:modified xsi:type="dcterms:W3CDTF">2023-06-23T08:37:11Z</dcterms:modified>
</cp:coreProperties>
</file>