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 червня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392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sz w:val="16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 передач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в оренду Радченку С.А.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28"/>
        </w:rPr>
      </w:r>
      <w:r>
        <w:rPr>
          <w:sz w:val="16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Радченка Сергія Анатолійовича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1,0000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території Менської міської територіальної громади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с. Городище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враховуючи, що на даній земельній ділянці розташовані об’єкти нерухомого майна (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вул. Садова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20а-1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та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вул. Садова,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20б-2)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що перебувають на праві власн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,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дозвіл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</w:t>
      </w:r>
      <w:r>
        <w:rPr>
          <w:rFonts w:ascii="Times New Roman" w:hAnsi="Times New Roman"/>
          <w:sz w:val="28"/>
          <w:szCs w:val="28"/>
          <w:lang w:val="uk-UA"/>
        </w:rPr>
        <w:t xml:space="preserve">о відведення земельної ділянки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Радченку Сергію Анатолійовичу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1,0000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 на території Менської міської територіальної громади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с. Городище, вул. Садова, за місцем розташування об’єктів нерухомого майна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що перебувають на праві власн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ості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2023-06-12T13:23:00Z</dcterms:created>
  <dcterms:modified xsi:type="dcterms:W3CDTF">2023-06-23T10:37:20Z</dcterms:modified>
</cp:coreProperties>
</file>