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spacing w:before="113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spacing w:before="113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spacing w:before="113" w:before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sz w:val="16"/>
        </w:rPr>
      </w:r>
      <w:r/>
    </w:p>
    <w:p>
      <w:pPr>
        <w:pStyle w:val="689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червня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372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sz w:val="16"/>
        </w:rPr>
      </w:r>
      <w:r/>
    </w:p>
    <w:p>
      <w:pPr>
        <w:pStyle w:val="706"/>
        <w:ind w:left="0" w:right="5386" w:firstLin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Програми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соціальної підтримки жителів Менської міської територіальної громади на 2022-2024 року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>
        <w:rPr>
          <w:sz w:val="16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yellow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З метою соціального захисту та фінансової підтримки </w:t>
      </w:r>
      <w:r>
        <w:t xml:space="preserve">працівників комунальних підприємств, які надають 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послуги у сфері благоустрою населених пунктів громади</w:t>
      </w:r>
      <w:r>
        <w:t xml:space="preserve">, визнання їх внеску у розвиток та забезпечення якісних комунальних послуг для населення, підтримку працівників у скла</w:t>
      </w:r>
      <w:r>
        <w:t xml:space="preserve">дних економічних чи соціальних умовах, забезпечення їхнього благополуччя, підвищення мотивації для подальшої професійної діяльності, збереження та підтримку кваліфікованого персоналу, що сприятиме стабільності та ефе</w:t>
      </w:r>
      <w:r>
        <w:t xml:space="preserve">ктивності роботи комунальних підприємств та покращенню життя громади</w:t>
      </w:r>
      <w:r>
        <w:t xml:space="preserve">, вирішення їх найбільш </w:t>
      </w:r>
      <w:r>
        <w:t xml:space="preserve">болючих проблем,</w:t>
      </w:r>
      <w:r>
        <w:t xml:space="preserve"> керуючись </w:t>
      </w:r>
      <w:r>
        <w:t xml:space="preserve">ст. 26 Закону України «Про місцеве самоврядування в Україні», Менська міська </w:t>
      </w:r>
      <w:r>
        <w:t xml:space="preserve">рада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pStyle w:val="705"/>
        <w:numPr>
          <w:ilvl w:val="1"/>
          <w:numId w:val="5"/>
        </w:numPr>
        <w:ind w:left="2" w:right="0" w:firstLine="565"/>
        <w:spacing w:before="113" w:beforeAutospacing="0"/>
        <w:tabs>
          <w:tab w:val="clear" w:pos="709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Програми соціальної підтримки жителів Менської міської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територіальної громади на 2022- 2024 роки, затвердженої рішенням сесії №355 від 14 червня 2023 року, а саме:</w:t>
      </w:r>
      <w:r/>
    </w:p>
    <w:p>
      <w:pPr>
        <w:ind w:left="567"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 пункт 9 Паспорту даної  Програми викласти в наступній редакції:</w:t>
      </w:r>
      <w:r/>
    </w:p>
    <w:tbl>
      <w:tblPr>
        <w:tblStyle w:val="72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4819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  <w:tab w:val="left" w:pos="85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9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4252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40" w:after="0" w:afterAutospacing="0" w:before="0" w:beforeAutospacing="0"/>
              <w:tabs>
                <w:tab w:val="clear" w:pos="709" w:leader="none"/>
                <w:tab w:val="left" w:pos="85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Загальний обсяг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фінансових ресурсів, необхідних для реалізації Програми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40" w:after="0" w:afterAutospacing="0" w:before="0" w:beforeAutospacing="0"/>
              <w:tabs>
                <w:tab w:val="clear" w:pos="709" w:leader="none"/>
                <w:tab w:val="left" w:pos="85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Всього: 7510,0 тис.грн., в тому числі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  <w:p>
            <w:pPr>
              <w:ind w:firstLine="567"/>
              <w:jc w:val="both"/>
              <w:spacing w:lineRule="auto" w:line="240" w:after="0" w:afterAutospacing="0" w:before="0" w:beforeAutospacing="0"/>
              <w:tabs>
                <w:tab w:val="clear" w:pos="709" w:leader="none"/>
                <w:tab w:val="left" w:pos="85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2 р. - 1930,0 тис.грн.,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  <w:p>
            <w:pPr>
              <w:ind w:firstLine="567"/>
              <w:jc w:val="both"/>
              <w:spacing w:lineRule="auto" w:line="240" w:after="0" w:afterAutospacing="0" w:before="0" w:beforeAutospacing="0"/>
              <w:tabs>
                <w:tab w:val="clear" w:pos="709" w:leader="none"/>
                <w:tab w:val="left" w:pos="85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2023 р. - 2640,0 тис.грн.,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  <w:p>
            <w:pPr>
              <w:ind w:firstLine="567"/>
              <w:jc w:val="both"/>
              <w:spacing w:lineRule="auto" w:line="240" w:after="0" w:afterAutospacing="0" w:before="0" w:beforeAutospacing="0"/>
              <w:tabs>
                <w:tab w:val="clear" w:pos="709" w:leader="none"/>
                <w:tab w:val="left" w:pos="85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 р. - 2940,0 тис.грн.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</w:tbl>
    <w:p>
      <w:pPr>
        <w:pStyle w:val="705"/>
        <w:numPr>
          <w:ilvl w:val="1"/>
          <w:numId w:val="5"/>
        </w:numPr>
        <w:ind w:left="2" w:right="0" w:firstLine="565"/>
        <w:spacing w:before="113" w:beforeAutospacing="0"/>
        <w:tabs>
          <w:tab w:val="clear" w:pos="709" w:leader="none"/>
          <w:tab w:val="left" w:pos="1134" w:leader="none"/>
        </w:tabs>
        <w:rPr>
          <w:rFonts w:ascii="Times New Roman" w:hAnsi="Times New Roman" w:cs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Доповнити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озділ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Заходи та фінансове забезпечення Програми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Програми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соціальної підтримки жителів Менської міської територіальної громади на 2022 - </w:t>
      </w:r>
      <w:r>
        <w:rPr>
          <w:rFonts w:ascii="Times New Roman" w:hAnsi="Times New Roman" w:cs="Times New Roman"/>
          <w:sz w:val="28"/>
          <w:szCs w:val="28"/>
        </w:rPr>
        <w:t xml:space="preserve">2024 роки пунктом 9 наступного змісту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tbl>
      <w:tblPr>
        <w:tblStyle w:val="721"/>
        <w:tblpPr w:horzAnchor="text" w:tblpX="-10" w:vertAnchor="text" w:tblpY="1" w:leftFromText="180" w:topFromText="0" w:rightFromText="180" w:bottomFromText="0"/>
        <w:tblW w:w="9761" w:type="dxa"/>
        <w:tblCellSpacing w:w="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90"/>
        <w:gridCol w:w="4960"/>
        <w:gridCol w:w="1028"/>
        <w:gridCol w:w="1028"/>
        <w:gridCol w:w="1028"/>
        <w:gridCol w:w="1028"/>
      </w:tblGrid>
      <w:tr>
        <w:trPr>
          <w:tblCellSpacing w:w="0" w:type="dxa"/>
          <w:trHeight w:val="169"/>
        </w:trPr>
        <w:tc>
          <w:tcPr>
            <w:tcBorders>
              <w:left w:val="single" w:color="000000" w:sz="4" w:space="0"/>
              <w:top w:val="single" w:color="000000" w:sz="8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vMerge w:val="restart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sz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№ п/п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4960" w:type="dxa"/>
            <w:vAlign w:val="center"/>
            <w:vMerge w:val="restart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sz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Заходи та розмір грошової допомоги на одну особу/сім’ю на рік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грн.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)</w:t>
            </w:r>
            <w:r>
              <w:rPr>
                <w:sz w:val="20"/>
              </w:rPr>
            </w:r>
            <w:r/>
          </w:p>
        </w:tc>
        <w:tc>
          <w:tcPr>
            <w:gridSpan w:val="4"/>
            <w:shd w:val="clear" w:color="FFFFFF"/>
            <w:tcBorders>
              <w:top w:val="single" w:color="000000" w:sz="8" w:space="0"/>
              <w:right w:val="single" w:color="000000" w:sz="8" w:space="0"/>
            </w:tcBorders>
            <w:tcW w:w="411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Орієнтовна сума (тис.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грн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)</w:t>
            </w:r>
            <w:r>
              <w:rPr>
                <w:sz w:val="20"/>
              </w:rPr>
            </w:r>
            <w:r/>
          </w:p>
        </w:tc>
      </w:tr>
      <w:tr>
        <w:trPr>
          <w:tblCellSpacing w:w="0" w:type="dxa"/>
          <w:trHeight w:val="2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W w:w="4960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2022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2023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8" w:type="dxa"/>
            <w:vAlign w:val="center"/>
            <w:textDirection w:val="lrTb"/>
            <w:noWrap/>
          </w:tcPr>
          <w:p>
            <w:pPr>
              <w:ind w:firstLine="0"/>
              <w:jc w:val="center"/>
              <w:tabs>
                <w:tab w:val="left" w:pos="874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/>
                <w:sz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2024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всього</w:t>
            </w:r>
            <w:r>
              <w:rPr>
                <w:sz w:val="20"/>
              </w:rPr>
            </w:r>
            <w:r/>
          </w:p>
        </w:tc>
      </w:tr>
      <w:tr>
        <w:trPr>
          <w:tblCellSpacing w:w="0" w:type="dxa"/>
          <w:trHeight w:val="1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/>
          </w:tcPr>
          <w:p>
            <w:pPr>
              <w:ind w:firstLine="0"/>
              <w:rPr>
                <w:rFonts w:ascii="Times New Roman" w:hAnsi="Times New Roman" w:cs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sz w:val="28"/>
              </w:rPr>
            </w:r>
            <w:r>
              <w:rPr>
                <w:sz w:val="3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0" w:type="dxa"/>
            <w:vAlign w:val="center"/>
            <w:textDirection w:val="lrTb"/>
            <w:noWrap/>
          </w:tcPr>
          <w:p>
            <w:pPr>
              <w:ind w:firstLine="0"/>
              <w:rPr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Надання одноразової матеріальної допомоги працівникам комунальних підприємств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t xml:space="preserve">, які надають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u w:val="none"/>
              </w:rPr>
              <w:t xml:space="preserve">послуги у сфері благоустрою населених пунктів громади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</w:r>
            <w:r>
              <w:rPr>
                <w:sz w:val="3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sz w:val="28"/>
              </w:rPr>
            </w:r>
            <w:r>
              <w:rPr>
                <w:sz w:val="3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270,00</w:t>
            </w:r>
            <w:r>
              <w:rPr>
                <w:sz w:val="28"/>
              </w:rPr>
            </w:r>
            <w:r>
              <w:rPr>
                <w:sz w:val="3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270,00</w:t>
            </w:r>
            <w:r>
              <w:rPr>
                <w:sz w:val="28"/>
              </w:rPr>
            </w:r>
            <w:r>
              <w:rPr>
                <w:sz w:val="3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540,00</w:t>
            </w:r>
            <w:r>
              <w:rPr>
                <w:sz w:val="28"/>
              </w:rPr>
            </w:r>
            <w:r>
              <w:rPr>
                <w:sz w:val="32"/>
              </w:rPr>
            </w:r>
          </w:p>
        </w:tc>
      </w:tr>
    </w:tbl>
    <w:p>
      <w:pPr>
        <w:pStyle w:val="705"/>
        <w:numPr>
          <w:ilvl w:val="1"/>
          <w:numId w:val="5"/>
        </w:numPr>
        <w:ind w:left="2" w:right="0" w:firstLine="565"/>
        <w:spacing w:before="113" w:beforeAutospacing="0"/>
        <w:tabs>
          <w:tab w:val="clear" w:pos="709" w:leader="none"/>
          <w:tab w:val="left" w:pos="1134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Викласти підсумкову строку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озділу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Заходи та фінансове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забезпечення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Програми соціальної підтримки жителів Менської міської територіальної громади на 2022 -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роки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в наступній редакції:</w:t>
      </w:r>
      <w:r>
        <w:rPr>
          <w:color w:val="000000" w:themeColor="text1"/>
        </w:rPr>
      </w:r>
      <w:r/>
    </w:p>
    <w:tbl>
      <w:tblPr>
        <w:tblStyle w:val="721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</w:tblGrid>
      <w:tr>
        <w:trPr/>
        <w:tc>
          <w:tcPr>
            <w:tcW w:w="1949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clear" w:pos="709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949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clear" w:pos="709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</w:rPr>
              <w:t xml:space="preserve">2022р.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949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clear" w:pos="709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</w:rPr>
              <w:t xml:space="preserve">2023р.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949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clear" w:pos="709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</w:rPr>
              <w:t xml:space="preserve">2024р.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W w:w="1949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clear" w:pos="709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</w:rPr>
              <w:t xml:space="preserve">всього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highlight w:val="none"/>
              </w:rPr>
              <w:t xml:space="preserve">Всього:</w:t>
            </w:r>
            <w:r>
              <w:rPr>
                <w:sz w:val="28"/>
              </w:rPr>
            </w:r>
            <w:r>
              <w:rPr>
                <w:sz w:val="32"/>
              </w:rPr>
            </w:r>
          </w:p>
        </w:tc>
        <w:tc>
          <w:tcPr>
            <w:tcW w:w="194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highlight w:val="none"/>
              </w:rPr>
              <w:t xml:space="preserve">1930</w:t>
            </w:r>
            <w:r>
              <w:rPr>
                <w:sz w:val="28"/>
              </w:rPr>
            </w:r>
            <w:r>
              <w:rPr>
                <w:sz w:val="32"/>
              </w:rPr>
            </w:r>
          </w:p>
        </w:tc>
        <w:tc>
          <w:tcPr>
            <w:tcW w:w="194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highlight w:val="none"/>
              </w:rPr>
              <w:t xml:space="preserve">2640</w:t>
            </w:r>
            <w:r>
              <w:rPr>
                <w:sz w:val="28"/>
              </w:rPr>
            </w:r>
            <w:r>
              <w:rPr>
                <w:sz w:val="32"/>
              </w:rPr>
            </w:r>
          </w:p>
        </w:tc>
        <w:tc>
          <w:tcPr>
            <w:tcW w:w="194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highlight w:val="none"/>
              </w:rPr>
              <w:t xml:space="preserve">2940</w:t>
            </w:r>
            <w:r>
              <w:rPr>
                <w:sz w:val="28"/>
              </w:rPr>
            </w:r>
            <w:r>
              <w:rPr>
                <w:sz w:val="32"/>
              </w:rPr>
            </w:r>
          </w:p>
        </w:tc>
        <w:tc>
          <w:tcPr>
            <w:tcW w:w="194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highlight w:val="none"/>
              </w:rPr>
              <w:t xml:space="preserve">7510</w:t>
            </w:r>
            <w:r>
              <w:rPr>
                <w:sz w:val="28"/>
              </w:rPr>
            </w:r>
            <w:r>
              <w:rPr>
                <w:sz w:val="32"/>
              </w:rPr>
            </w:r>
          </w:p>
        </w:tc>
      </w:tr>
    </w:tbl>
    <w:p>
      <w:pPr>
        <w:pStyle w:val="705"/>
        <w:numPr>
          <w:ilvl w:val="1"/>
          <w:numId w:val="5"/>
        </w:numPr>
        <w:ind w:left="2" w:right="0" w:firstLine="565"/>
        <w:spacing w:before="113" w:beforeAutospacing="0"/>
        <w:tabs>
          <w:tab w:val="clear" w:pos="709" w:leader="none"/>
          <w:tab w:val="left" w:pos="1134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Програму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новим додатком “Порядок надання одноразової матеріальної допомоги 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працівникам комунальних підприємств 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(додається)</w:t>
      </w:r>
      <w:r>
        <w:rPr>
          <w:rFonts w:ascii="Times New Roman" w:hAnsi="Times New Roman" w:cs="Times New Roman"/>
          <w:color w:val="000000" w:themeColor="text1"/>
          <w:sz w:val="28"/>
        </w:rPr>
      </w:r>
      <w:r/>
    </w:p>
    <w:p>
      <w:pPr>
        <w:tabs>
          <w:tab w:val="clear" w:pos="709" w:leader="none"/>
        </w:tabs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2. Відділ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соціального захисту населення, сім’ї, молоді та охорони здоров’я</w:t>
      </w:r>
      <w:r>
        <w:rPr>
          <w:b w:val="fals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Менської місь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кої ради забезпечити виконання Програми.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цього рішення покласти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постійну комісію міської ради з питань охорони здоров’я, соціального захисту населення, освіти, культури, молоді, фізкультури і спорту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заступника міського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голови з питан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ь діяльності виконавчих органів ради В.В. Прищепу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1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Arial Unicode MS">
    <w:panose1 w:val="020B0604020202020204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8">
    <w:name w:val="Heading 1 Char"/>
    <w:link w:val="68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9">
    <w:name w:val="Heading 2"/>
    <w:basedOn w:val="865"/>
    <w:next w:val="865"/>
    <w:link w:val="69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0">
    <w:name w:val="Heading 2 Char"/>
    <w:link w:val="68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1">
    <w:name w:val="Heading 3"/>
    <w:basedOn w:val="865"/>
    <w:next w:val="865"/>
    <w:link w:val="69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>
    <w:name w:val="Heading 3 Char"/>
    <w:link w:val="69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3">
    <w:name w:val="Heading 4"/>
    <w:basedOn w:val="865"/>
    <w:next w:val="865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6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6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6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6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6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865"/>
    <w:qFormat/>
    <w:uiPriority w:val="34"/>
    <w:pPr>
      <w:contextualSpacing w:val="true"/>
      <w:ind w:left="720"/>
    </w:pPr>
  </w:style>
  <w:style w:type="paragraph" w:styleId="706">
    <w:name w:val="No Spacing"/>
    <w:basedOn w:val="86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17</cp:revision>
  <dcterms:created xsi:type="dcterms:W3CDTF">2019-03-29T20:09:00Z</dcterms:created>
  <dcterms:modified xsi:type="dcterms:W3CDTF">2023-06-23T12:32:58Z</dcterms:modified>
</cp:coreProperties>
</file>