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п’ята сесія восьмого скликання) 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02</w:t>
      </w:r>
      <w:r>
        <w:rPr>
          <w:rFonts w:ascii="Times New Roman" w:hAnsi="Times New Roman" w:eastAsia="Times New Roman"/>
          <w:color w:val="000000"/>
          <w:sz w:val="28"/>
        </w:rPr>
        <w:t xml:space="preserve"> червня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</w:rPr>
        <w:t xml:space="preserve">343</w:t>
      </w:r>
      <w:bookmarkStart w:id="0" w:name="_GoBack"/>
      <w:r/>
      <w:bookmarkEnd w:id="0"/>
      <w:r/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811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майна </w:t>
      </w:r>
      <w:r/>
    </w:p>
    <w:p>
      <w:pPr>
        <w:ind w:right="5811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та передачу його в оперативне управління закладам освіти</w:t>
      </w:r>
      <w:r/>
    </w:p>
    <w:p>
      <w:pPr>
        <w:ind w:right="5811"/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13"/>
        <w:ind w:right="-1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закладів освіти громади обладнанням, необхідним для організації безперебійного освітнього процесу, згідно Актів приймання-передачі гуманітарної (благодійної) допомоги між ФІЛІЄЮ ФОНДУ ФІНСЬКА ЦЕРКОВНА ДОПОМОГА в УКРАЇНІ, Благодійного ф</w:t>
      </w:r>
      <w:r>
        <w:rPr>
          <w:sz w:val="28"/>
          <w:szCs w:val="28"/>
          <w:lang w:val="uk-UA"/>
        </w:rPr>
        <w:t xml:space="preserve">онду «ФОНД РЕГІОНАЛЬНОГО РОЗВИТКУ «СЕМАРГЛ» та закладами загальної середньої освіти, також за сприяння пана </w:t>
      </w:r>
      <w:r>
        <w:rPr>
          <w:sz w:val="28"/>
          <w:szCs w:val="28"/>
          <w:lang w:val="uk-UA"/>
        </w:rPr>
        <w:t xml:space="preserve">Арада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Бенкьо</w:t>
      </w:r>
      <w:r>
        <w:rPr>
          <w:sz w:val="28"/>
          <w:szCs w:val="28"/>
          <w:lang w:val="uk-UA"/>
        </w:rPr>
        <w:t xml:space="preserve">, та в рамках співпраці з Благодійним фондом “Захистимо Україну”, керуючись рішенням 30 сесії Менської міської ради восьмого скликання в</w:t>
      </w:r>
      <w:r>
        <w:rPr>
          <w:sz w:val="28"/>
          <w:szCs w:val="28"/>
          <w:lang w:val="uk-UA"/>
        </w:rPr>
        <w:t xml:space="preserve">ід 28 лютого 2023 року №79 «Про затвердження Порядку прийняття майна до комунальної власності Менської міської територіальної громади», статтями 26, 60 Закону України «Про місцеве самоврядування в Україні», Менська міська рада</w:t>
      </w:r>
      <w:r/>
    </w:p>
    <w:p>
      <w:pPr>
        <w:pStyle w:val="91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 xml:space="preserve">Прийняти в комун</w:t>
      </w:r>
      <w:r>
        <w:rPr>
          <w:color w:val="000000"/>
          <w:sz w:val="28"/>
          <w:szCs w:val="28"/>
          <w:lang w:val="uk-UA" w:eastAsia="uk-UA"/>
        </w:rPr>
        <w:t xml:space="preserve">альну власність Менської міської територіальної громади </w:t>
      </w:r>
      <w:r>
        <w:rPr>
          <w:rStyle w:val="915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майно</w:t>
      </w:r>
      <w:r>
        <w:rPr>
          <w:color w:val="000000"/>
          <w:sz w:val="28"/>
          <w:szCs w:val="28"/>
          <w:lang w:val="uk-UA"/>
        </w:rPr>
        <w:t xml:space="preserve">, безоплатно передане </w:t>
      </w:r>
      <w:r>
        <w:rPr>
          <w:sz w:val="28"/>
          <w:szCs w:val="28"/>
          <w:lang w:val="uk-UA"/>
        </w:rPr>
        <w:t xml:space="preserve">ФІЛІЄЮ ФОНДУ ФІНСЬКА ЦЕРКОВНА ДОПОМОГА в УКРАЇНІ, Благодійним фондом «ФОНД РЕГІОНАЛЬНОГО РОЗВИТКУ «СЕМАРГЛ», Благодійним фондом “Захистимо Україну”, від </w:t>
      </w:r>
      <w:r>
        <w:rPr>
          <w:sz w:val="28"/>
          <w:szCs w:val="28"/>
          <w:lang w:val="uk-UA"/>
        </w:rPr>
        <w:t xml:space="preserve">Михаела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Фезанаса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сприяння пана </w:t>
      </w:r>
      <w:r>
        <w:rPr>
          <w:sz w:val="28"/>
          <w:szCs w:val="28"/>
          <w:lang w:val="uk-UA"/>
        </w:rPr>
        <w:t xml:space="preserve">Арада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Бенкьо</w:t>
      </w:r>
      <w:r>
        <w:rPr>
          <w:sz w:val="28"/>
          <w:szCs w:val="28"/>
          <w:lang w:val="uk-UA"/>
        </w:rPr>
        <w:t xml:space="preserve">, як гуманітарну допомогу для забезпечення закладів освіти громади обладнанням, необхідним для організації безперебійного освітнього процесу</w:t>
      </w:r>
      <w:r>
        <w:rPr>
          <w:rStyle w:val="915"/>
          <w:bCs/>
          <w:color w:val="000000"/>
          <w:sz w:val="28"/>
          <w:szCs w:val="28"/>
          <w:lang w:val="uk-UA"/>
        </w:rPr>
        <w:t xml:space="preserve">, відповідно додатку 1 до даного рішення, </w:t>
      </w:r>
      <w:r>
        <w:rPr>
          <w:color w:val="000000"/>
          <w:sz w:val="28"/>
          <w:szCs w:val="28"/>
          <w:lang w:val="uk-UA" w:eastAsia="uk-UA"/>
        </w:rPr>
        <w:t xml:space="preserve">та включити його до переліку майна комунально</w:t>
      </w:r>
      <w:r>
        <w:rPr>
          <w:color w:val="000000"/>
          <w:sz w:val="28"/>
          <w:szCs w:val="28"/>
          <w:lang w:val="uk-UA" w:eastAsia="uk-UA"/>
        </w:rPr>
        <w:t xml:space="preserve">ї власності Менської міської територіальної громади. 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вказане в пункті 1 рішення майно в оперативне управління та на баланс закладів освіти згідно додатку 2.</w:t>
      </w:r>
      <w:r/>
    </w:p>
    <w:p>
      <w:pPr>
        <w:pStyle w:val="91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Доручити міському голові укласти договори про оперативне управління.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Контроль 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paragraph" w:styleId="693">
    <w:name w:val="Heading 1"/>
    <w:basedOn w:val="692"/>
    <w:next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6">
    <w:name w:val="Plain Table 1"/>
    <w:basedOn w:val="7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7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7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7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7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5 Dark"/>
    <w:basedOn w:val="7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7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>
    <w:name w:val="Grid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>
    <w:name w:val="List Table 3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"/>
    <w:basedOn w:val="7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basedOn w:val="7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>
    <w:name w:val="List Table 6 Colorful"/>
    <w:basedOn w:val="7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>
    <w:name w:val="List Table 7 Colorful"/>
    <w:basedOn w:val="7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5" w:customStyle="1">
    <w:name w:val="Title Char"/>
    <w:basedOn w:val="702"/>
    <w:uiPriority w:val="10"/>
    <w:rPr>
      <w:sz w:val="48"/>
      <w:szCs w:val="48"/>
    </w:rPr>
  </w:style>
  <w:style w:type="character" w:styleId="726" w:customStyle="1">
    <w:name w:val="Subtitle Char"/>
    <w:basedOn w:val="702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character" w:styleId="730" w:customStyle="1">
    <w:name w:val="Endnote Text Char"/>
    <w:uiPriority w:val="99"/>
    <w:rPr>
      <w:sz w:val="20"/>
    </w:rPr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692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Заголовок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о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Выделенная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0">
    <w:name w:val="Balloon Text"/>
    <w:basedOn w:val="692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выноски Знак"/>
    <w:basedOn w:val="702"/>
    <w:link w:val="910"/>
    <w:semiHidden/>
    <w:rPr>
      <w:rFonts w:ascii="Tahoma" w:hAnsi="Tahoma" w:eastAsia="Calibri"/>
      <w:sz w:val="16"/>
      <w:szCs w:val="16"/>
      <w:lang w:bidi="en-US"/>
    </w:rPr>
  </w:style>
  <w:style w:type="character" w:styleId="912">
    <w:name w:val="Strong"/>
    <w:basedOn w:val="702"/>
    <w:qFormat/>
    <w:uiPriority w:val="22"/>
    <w:rPr>
      <w:b/>
      <w:bCs/>
    </w:rPr>
  </w:style>
  <w:style w:type="paragraph" w:styleId="913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4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5" w:customStyle="1">
    <w:name w:val="docy"/>
    <w:basedOn w:val="702"/>
  </w:style>
  <w:style w:type="character" w:styleId="916" w:customStyle="1">
    <w:name w:val="2655"/>
    <w:basedOn w:val="702"/>
  </w:style>
  <w:style w:type="paragraph" w:styleId="917">
    <w:name w:val="Header"/>
    <w:basedOn w:val="692"/>
    <w:link w:val="91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8" w:customStyle="1">
    <w:name w:val="Верхний колонтитул Знак"/>
    <w:basedOn w:val="702"/>
    <w:link w:val="917"/>
    <w:uiPriority w:val="99"/>
    <w:semiHidden/>
  </w:style>
  <w:style w:type="paragraph" w:styleId="919">
    <w:name w:val="Footer"/>
    <w:basedOn w:val="692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702"/>
    <w:link w:val="91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F532BD-5CC2-42DD-A419-F6BA0C832BD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7F34176-3D65-46FE-86F1-5409DC53875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B0907F-F6B7-4880-8290-DF82D119DD44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331BF02-7486-48BF-B0FD-57C5AF9F8FF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205408ED-7FD2-4649-AE22-4903FC1141C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14</cp:revision>
  <dcterms:created xsi:type="dcterms:W3CDTF">2023-05-31T11:45:00Z</dcterms:created>
  <dcterms:modified xsi:type="dcterms:W3CDTF">2023-06-05T07:28:07Z</dcterms:modified>
</cp:coreProperties>
</file>