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18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</w:r>
      <w:r>
        <w:rPr>
          <w:sz w:val="14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(тридцять п</w:t>
      </w:r>
      <w:r>
        <w:rPr>
          <w:rFonts w:ascii="Times New Roman" w:hAnsi="Times New Roman"/>
          <w:b/>
          <w:color w:val="000000" w:themeColor="text1"/>
          <w:sz w:val="28"/>
          <w:lang w:val="ru-RU"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35"/>
        <w:rPr>
          <w:rFonts w:ascii="Times New Roman" w:hAnsi="Times New Roman"/>
          <w:color w:val="000000"/>
          <w:sz w:val="16"/>
          <w:lang w:val="uk-UA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sz w:val="12"/>
        </w:rPr>
      </w:r>
    </w:p>
    <w:p>
      <w:pPr>
        <w:widowControl w:val="off"/>
        <w:tabs>
          <w:tab w:val="left" w:pos="4536" w:leader="none"/>
          <w:tab w:val="left" w:pos="7088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2023 року                      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    м. Мена   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    №285</w:t>
      </w:r>
      <w:bookmarkStart w:id="1" w:name="_GoBack"/>
      <w:r/>
      <w:bookmarkEnd w:id="1"/>
      <w:r/>
      <w:r/>
    </w:p>
    <w:p>
      <w:pPr>
        <w:widowControl w:val="off"/>
        <w:tabs>
          <w:tab w:val="left" w:pos="4536" w:leader="none"/>
          <w:tab w:val="left" w:pos="7088" w:leader="none"/>
        </w:tabs>
        <w:rPr>
          <w:rFonts w:eastAsia="Lucida Sans Unicode"/>
          <w:color w:val="000000"/>
          <w:sz w:val="16"/>
          <w:szCs w:val="28"/>
          <w:lang w:val="uk-UA" w:bidi="hi-IN" w:eastAsia="hi-IN"/>
        </w:rPr>
      </w:pPr>
      <w:r>
        <w:rPr>
          <w:rFonts w:eastAsia="Lucida Sans Unicode"/>
          <w:color w:val="000000"/>
          <w:sz w:val="16"/>
          <w:szCs w:val="28"/>
          <w:lang w:val="uk-UA" w:bidi="hi-IN" w:eastAsia="hi-IN"/>
        </w:rPr>
      </w:r>
      <w:r>
        <w:rPr>
          <w:sz w:val="14"/>
        </w:rPr>
      </w:r>
    </w:p>
    <w:p>
      <w:pPr>
        <w:pStyle w:val="835"/>
        <w:ind w:right="51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на  2022-2024 роки</w:t>
      </w:r>
      <w:r/>
    </w:p>
    <w:p>
      <w:pPr>
        <w:jc w:val="both"/>
        <w:widowControl w:val="off"/>
        <w:tabs>
          <w:tab w:val="left" w:pos="4536" w:leader="none"/>
          <w:tab w:val="left" w:pos="7088" w:leader="none"/>
        </w:tabs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</w:r>
      <w:r>
        <w:rPr>
          <w:sz w:val="16"/>
        </w:rPr>
      </w:r>
    </w:p>
    <w:p>
      <w:pPr>
        <w:pStyle w:val="835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на  2022-2024 роки </w:t>
      </w:r>
      <w:r>
        <w:rPr>
          <w:rStyle w:val="838"/>
          <w:b w:val="false"/>
          <w:sz w:val="28"/>
          <w:szCs w:val="28"/>
          <w:lang w:val="uk-UA" w:eastAsia="uk-UA"/>
        </w:rPr>
        <w:t xml:space="preserve"> 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за перший квартал 2023 року, враховуючи ст. 25, 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 </w:t>
      </w:r>
      <w:r>
        <w:rPr>
          <w:bCs/>
          <w:iCs/>
          <w:sz w:val="28"/>
          <w:szCs w:val="28"/>
          <w:lang w:val="uk-UA"/>
        </w:rPr>
        <w:t xml:space="preserve">надання одноразової  допомоги дітям-сиротам і дітям, позбавленим батьківського піклування, після досягнення 18-річного віку </w:t>
      </w:r>
      <w:r>
        <w:rPr>
          <w:color w:val="000000" w:themeColor="text1"/>
          <w:sz w:val="28"/>
          <w:lang w:val="uk-UA" w:bidi="en-US"/>
        </w:rPr>
        <w:t xml:space="preserve">на 2022-2024 роки</w:t>
      </w:r>
      <w:r>
        <w:rPr>
          <w:b/>
          <w:color w:val="000000" w:themeColor="text1"/>
          <w:sz w:val="28"/>
          <w:lang w:val="uk-UA" w:bidi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перший квартал 2023 року</w:t>
      </w:r>
      <w:r>
        <w:rPr>
          <w:color w:val="000000"/>
          <w:sz w:val="28"/>
          <w:szCs w:val="28"/>
          <w:lang w:val="uk-UA"/>
        </w:rPr>
        <w:t xml:space="preserve">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 та заступника міського  голови з питань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діяльності виконавчих органів ради  Прищепу В.В.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p>
      <w:r/>
      <w:r/>
    </w:p>
    <w:p>
      <w:r/>
      <w:r/>
    </w:p>
    <w:p>
      <w:r/>
      <w:r/>
    </w:p>
    <w:p>
      <w:r/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2023-05-11T07:08:00Z</dcterms:created>
  <dcterms:modified xsi:type="dcterms:W3CDTF">2023-06-05T07:07:11Z</dcterms:modified>
</cp:coreProperties>
</file>