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червня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282</w:t>
      </w:r>
      <w:bookmarkStart w:id="1" w:name="_GoBack"/>
      <w:r/>
      <w:bookmarkEnd w:id="1"/>
      <w:r/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bookmarkStart w:id="2" w:name="_Hlk115951096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організації харчування дітей в закладах дошкільної освіти Менської міської ради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на 2022-2024 роки</w:t>
      </w:r>
      <w:bookmarkEnd w:id="2"/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3 місяці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Ознайомившись з інформацією начальника Відділу освіти Менської міської ради Ірини Лук’яненко п</w:t>
      </w:r>
      <w:r>
        <w:rPr>
          <w:rFonts w:ascii="Times New Roman" w:hAnsi="Times New Roman" w:cs="Times New Roman"/>
          <w:sz w:val="28"/>
          <w:szCs w:val="28"/>
        </w:rPr>
        <w:t xml:space="preserve">ро стан виконання </w:t>
      </w:r>
      <w:bookmarkStart w:id="3" w:name="_Hlk115951181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3 місяці 2023 року</w:t>
      </w:r>
      <w:bookmarkEnd w:id="3"/>
      <w:r>
        <w:rPr>
          <w:rStyle w:val="908"/>
          <w:b w:val="false"/>
          <w:bCs w:val="false"/>
          <w:sz w:val="28"/>
          <w:szCs w:val="28"/>
          <w:lang w:eastAsia="uk-UA"/>
        </w:rPr>
        <w:t xml:space="preserve">, враховуючи ст. 25, 27</w:t>
      </w:r>
      <w:r>
        <w:rPr>
          <w:rStyle w:val="908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на 2022-2024 роки </w:t>
      </w:r>
      <w:r>
        <w:rPr>
          <w:rStyle w:val="908"/>
          <w:b w:val="false"/>
          <w:bCs w:val="false"/>
          <w:sz w:val="28"/>
          <w:szCs w:val="28"/>
          <w:lang w:eastAsia="uk-UA"/>
        </w:rPr>
        <w:t xml:space="preserve">за 3 місяці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Контроль за викон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3A764C0-9D58-4B4B-B7D7-889580E5091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A4F008-95C9-487A-B8F9-85EAA288669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BD05E53-1A0B-4087-A8E7-F4E9CFED79D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7EB795E-86B6-483A-96C4-68B1835D2F86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835E772-1186-427E-8549-477FDB2640EF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098A24D6-7D93-47DA-A8E3-29A68F22A22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14</cp:revision>
  <dcterms:created xsi:type="dcterms:W3CDTF">2023-05-11T12:26:00Z</dcterms:created>
  <dcterms:modified xsi:type="dcterms:W3CDTF">2023-06-05T06:29:44Z</dcterms:modified>
</cp:coreProperties>
</file>