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Додаток </w:t>
      </w:r>
      <w:r>
        <w:rPr>
          <w:sz w:val="20"/>
        </w:rPr>
      </w:r>
      <w:r>
        <w:rPr>
          <w:sz w:val="14"/>
        </w:rPr>
      </w:r>
    </w:p>
    <w:p>
      <w:pPr>
        <w:ind w:left="5669"/>
        <w:jc w:val="both"/>
        <w:spacing w:before="0" w:beforeAutospacing="0"/>
        <w:rPr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до рішення 35</w:t>
      </w:r>
      <w:r>
        <w:rPr>
          <w:bCs/>
          <w:color w:val="000000"/>
          <w:sz w:val="20"/>
          <w:szCs w:val="28"/>
        </w:rPr>
        <w:t xml:space="preserve"> </w:t>
      </w:r>
      <w:r>
        <w:rPr>
          <w:bCs/>
          <w:color w:val="000000"/>
          <w:sz w:val="20"/>
          <w:szCs w:val="28"/>
        </w:rPr>
        <w:t xml:space="preserve">сесії Менської міської ради 8 скликання</w:t>
      </w:r>
      <w:r>
        <w:rPr>
          <w:sz w:val="20"/>
        </w:rPr>
      </w:r>
      <w:r>
        <w:rPr>
          <w:sz w:val="14"/>
        </w:rPr>
      </w:r>
    </w:p>
    <w:p>
      <w:pPr>
        <w:ind w:left="5669"/>
        <w:jc w:val="both"/>
        <w:spacing w:before="0" w:beforeAutospacing="0"/>
        <w:rPr>
          <w:bCs/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02 червня 2023 </w:t>
      </w:r>
      <w:r>
        <w:rPr>
          <w:bCs/>
          <w:color w:val="000000"/>
          <w:sz w:val="20"/>
          <w:szCs w:val="28"/>
        </w:rPr>
        <w:t xml:space="preserve">року №281</w:t>
      </w:r>
      <w:r>
        <w:rPr>
          <w:sz w:val="20"/>
        </w:rPr>
      </w:r>
      <w:r>
        <w:rPr>
          <w:sz w:val="14"/>
        </w:rPr>
      </w:r>
    </w:p>
    <w:p>
      <w:pPr>
        <w:ind w:firstLine="567"/>
        <w:jc w:val="center"/>
        <w:spacing w:before="0" w:beforeAutospacing="0"/>
        <w:rPr>
          <w:b/>
          <w:color w:val="000000"/>
          <w:sz w:val="6"/>
          <w:szCs w:val="28"/>
        </w:rPr>
      </w:pPr>
      <w:r>
        <w:rPr>
          <w:b/>
          <w:color w:val="000000"/>
          <w:sz w:val="6"/>
          <w:szCs w:val="28"/>
        </w:rPr>
      </w:r>
      <w:r>
        <w:rPr>
          <w:sz w:val="2"/>
        </w:rPr>
      </w:r>
      <w:r>
        <w:rPr>
          <w:sz w:val="6"/>
        </w:rPr>
      </w:r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b/>
          <w:color w:val="000000"/>
          <w:sz w:val="28"/>
          <w:szCs w:val="28"/>
        </w:rPr>
        <w:t xml:space="preserve"> за 1 квартал 2023 року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4"/>
          <w:szCs w:val="28"/>
        </w:rPr>
        <w:suppressLineNumbers w:val="0"/>
      </w:pPr>
      <w:r>
        <w:rPr>
          <w:b/>
          <w:color w:val="000000"/>
          <w:sz w:val="4"/>
          <w:szCs w:val="28"/>
        </w:rPr>
      </w:r>
      <w:r>
        <w:rPr>
          <w:sz w:val="2"/>
        </w:rPr>
      </w:r>
      <w:r>
        <w:rPr>
          <w:sz w:val="6"/>
        </w:rPr>
      </w:r>
    </w:p>
    <w:p>
      <w:pPr>
        <w:ind w:left="0" w:right="0" w:firstLine="567"/>
        <w:jc w:val="both"/>
        <w:spacing w:lineRule="atLeast" w:line="57" w:after="0" w:before="0" w:beforeAutospacing="0"/>
        <w:rPr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розвитку місцевого самоврядування, налагодження поінформованості мешканців громади про роботу органів місцевого самоврядування та ситуацію в територіальній громаді, розширення сфер впливу на організаційні процеси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населених пунктах громади, активізацію діяльності депутатського корпусу і громадськості, в період з січня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по березень 2023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реалізовувались заходи визначені програмою</w:t>
      </w:r>
      <w:r>
        <w:rPr>
          <w:color w:val="000000"/>
          <w:sz w:val="28"/>
          <w:szCs w:val="28"/>
        </w:rPr>
        <w:t xml:space="preserve"> підтримки та розвитку місцевого самоврядування на території Менської міської територіальної громади на 2022-2024 роки, яку було </w:t>
      </w:r>
      <w:r>
        <w:rPr>
          <w:sz w:val="28"/>
          <w:szCs w:val="28"/>
        </w:rPr>
        <w:t xml:space="preserve">затверджено рішенням</w:t>
      </w:r>
      <w:r>
        <w:rPr>
          <w:sz w:val="28"/>
          <w:szCs w:val="28"/>
        </w:rPr>
        <w:t xml:space="preserve"> 15 сесії  Менської міської ради 8 скликання від 09.12.2021 № 798. </w:t>
      </w:r>
      <w:r>
        <w:rPr>
          <w:sz w:val="28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початку 2023 року в Менс</w:t>
      </w:r>
      <w:r>
        <w:rPr>
          <w:color w:val="000000"/>
          <w:sz w:val="28"/>
          <w:szCs w:val="28"/>
        </w:rPr>
        <w:t xml:space="preserve">ькій громаді було проведено ряд заходів, спрямованих на стабілізацію ситуації в енергетичному секторі, недопущенні “блек-ауту”, забезпечення стабільної роботи об’єктів критичної інфраструктури, соціального захисту, медичних, освітніх, культурних закладів.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вивчення громадської думки, працівниками міської ради та залученими експертами, партнерами в громаді проводиться аналіз потреб мешканців, вивченню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потреб вимушено переміщених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та щодо актуальних потреб в адміністративних та психосоціальних послугах, вивчалася думка </w:t>
      </w:r>
      <w:hyperlink r:id="rId16" w:tooltip="https://forms.gle/TfvdwWX5Beo6aUBSA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громадян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та представників бізнес-структур щодо перспективи та пріоритети планів відновлення громад, також серед мешканців громади і працівників міської ради проходило опитування щодо визначення стану комунікації в громаді.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Менська громада стала учасником ряду програм, які працюють в перелічених вище напрямках, наприклад EGAP, DECIDE, MOM, SSS, ПРООН, U-LEAD, USAID, FCA, IFC та інші. Проводилася робота з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ешканцями та представниками місцевого бізнесу для врахування потреб при розробці Програми відновлення та 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  <w:t xml:space="preserve">Організовано роботу структурних підрозділів міської ради щодо цифровізації надання публічних послуг. В рамках проєкту “Цифрова громада” закуплено програмні комплекти дл</w:t>
      </w:r>
      <w:r>
        <w:rPr>
          <w:color w:val="000000"/>
          <w:sz w:val="28"/>
          <w:szCs w:val="28"/>
          <w:highlight w:val="none"/>
        </w:rPr>
        <w:t xml:space="preserve">я ЦНАП, земельних та соціальних послуг. Робота структурних підрозділів міської ради, старост та комунальних підприємств забезпечується з використанням єдиної системи електронного документообігу. Та ж сама система використовується для організації проведень </w:t>
      </w:r>
      <w:r>
        <w:rPr>
          <w:color w:val="000000"/>
          <w:sz w:val="28"/>
          <w:szCs w:val="28"/>
          <w:highlight w:val="none"/>
        </w:rPr>
        <w:t xml:space="preserve">засідань сесі</w:t>
      </w:r>
      <w:r>
        <w:rPr>
          <w:color w:val="000000"/>
          <w:sz w:val="28"/>
          <w:szCs w:val="28"/>
          <w:highlight w:val="none"/>
        </w:rPr>
        <w:t xml:space="preserve">й ради та виконавчого комітету. </w:t>
      </w:r>
      <w:r>
        <w:rPr>
          <w:color w:val="000000"/>
          <w:sz w:val="28"/>
          <w:szCs w:val="28"/>
          <w:highlight w:val="none"/>
        </w:rPr>
        <w:t xml:space="preserve">Сесійну залу оснащено мікрофонами, камерами для онлайн-трансляцій, проектором, аудіосистемою, які використовуються для проведення засідань сесій, виконкомів, нарад, конференцій тощо.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За 1 квартал 2023 року ві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дбулося 5 пленарних засідань 4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-х сесій Менської міської ради 8 скликання, 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на яких прийнято 190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рішень. Перед кожним пленарним засіданням проводи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лись засідання постійних комісій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</w:rPr>
        <w:t xml:space="preserve">Проведено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8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засідань виконавчого коміте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ту міської ради і прийнято 70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рішень.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Протягом 1 кварталу 2023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року до міської ради надійшло 2296</w:t>
      </w:r>
      <w:r>
        <w:rPr>
          <w:rFonts w:ascii="Times New Roman" w:hAnsi="Times New Roman" w:cs="Times New Roman" w:eastAsia="Times New Roman" w:eastAsiaTheme="minorHAnsi"/>
          <w:sz w:val="28"/>
          <w:szCs w:val="27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документів (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розпорядження, доручення, рішення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, накази, поста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нови, інформації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, звернення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та ін.) та 138 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звернен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ь громадян (6 колективних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/97 підписів/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та 18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через органи влади).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7"/>
        </w:rPr>
        <w:t xml:space="preserve">Аналіз звернень показує, що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питому вагу складали питання соціального захисту (виплати соціальних допомог, нарахування пільг, надання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гуманітарної та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грошової допомоги тощо),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питання аграрної політики і земельних відносин (</w:t>
      </w:r>
      <w:r>
        <w:rPr>
          <w:rFonts w:ascii="Times New Roman" w:hAnsi="Times New Roman" w:cs="Times New Roman" w:eastAsia="Times New Roman" w:eastAsiaTheme="minorHAnsi"/>
          <w:iCs/>
          <w:color w:val="000000"/>
          <w:sz w:val="28"/>
          <w:szCs w:val="28"/>
        </w:rPr>
        <w:t xml:space="preserve">питання землекористування та добросусідських відносин, пов’язаних з цим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), питання діяльності об’єднань громадян.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Протягом 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звітного періоду опрацьовано 39 запитів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на інформацію згідно Закону України «Про доступ до публічної інформації».</w:t>
      </w:r>
      <w:r>
        <w:rPr>
          <w:rFonts w:eastAsiaTheme="minorHAnsi"/>
        </w:rPr>
        <w:t xml:space="preserve"> </w:t>
      </w:r>
      <w:r>
        <w:rPr>
          <w:rFonts w:eastAsiaTheme="minorHAnsi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Зареєстров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ано та направлено адресатам 669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 вихідних документів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  <w:r>
        <w:rPr>
          <w:rFonts w:ascii="Times New Roman" w:hAnsi="Times New Roman" w:cs="Times New Roman" w:eastAsia="Times New Roman" w:eastAsiaTheme="minorHAnsi"/>
          <w:sz w:val="28"/>
        </w:rPr>
        <w:t xml:space="preserve">Прийнято 124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 розпорядження міського голови з основної діяльн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ості, з особового складу – 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255. </w:t>
      </w:r>
      <w:r>
        <w:rPr>
          <w:rFonts w:eastAsiaTheme="minorHAnsi"/>
        </w:rPr>
      </w:r>
      <w:r>
        <w:rPr>
          <w:rFonts w:eastAsiaTheme="minorHAnsi"/>
        </w:rPr>
      </w:r>
      <w:r>
        <w:rPr>
          <w:rFonts w:ascii="Times New Roman" w:hAnsi="Times New Roman" w:cs="Times New Roman" w:eastAsia="Times New Roman" w:eastAsiaTheme="minorHAnsi"/>
          <w:sz w:val="28"/>
          <w:szCs w:val="27"/>
        </w:rPr>
        <w:t xml:space="preserve">Підготовлено 16</w:t>
      </w:r>
      <w:r>
        <w:rPr>
          <w:rFonts w:ascii="Times New Roman" w:hAnsi="Times New Roman" w:cs="Times New Roman" w:eastAsia="Times New Roman" w:eastAsiaTheme="minorHAnsi"/>
          <w:sz w:val="28"/>
          <w:szCs w:val="27"/>
        </w:rPr>
        <w:t xml:space="preserve"> розпоряджень міського голови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щодо нагородження Почесними грамотами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та оголошення Подяк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Менської міської ради. 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сього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вручено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143 відзнаки.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Всі рішення, протоколи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засідань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, розпорядження міського голови відповідно до Закону України «Про доступ до публічної інформації» оприлюднено на офіційному сайті міської ради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в мережі Інтернет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в установленому порядку.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Протягом звітного періоду відбулося 1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засідання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адміністративної коміс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ії, на засіданнях розглянуто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1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справу.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Працювала комісія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з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питань захисту прав дитини ( 3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засідань), комісія по 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данню матеріальної допомоги ( 1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засідань),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комісії з питань техногенно-екологічної безп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еки і надзвичайних ситуацій</w:t>
      </w:r>
      <w:r>
        <w:rPr>
          <w:rFonts w:ascii="Times New Roman" w:hAnsi="Times New Roman" w:cs="Times New Roman" w:eastAsia="Times New Roman" w:eastAsiaTheme="minorHAnsi"/>
          <w:color w:val="FF0000"/>
          <w:sz w:val="28"/>
          <w:szCs w:val="18"/>
          <w:highlight w:val="white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( 1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), координ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аційна рада у справах дітей ( 2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засідання), опікунська рада ( 3 засідання), комісія з питань компле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shd w:val="clear" w:color="FFFFFF" w:fill="FFFFFF"/>
        </w:rPr>
        <w:t xml:space="preserve">ксного визначення ступеня індивідуальних потреб особи, яка потребує надання соціальних послуг ( 21 засідання) та ін.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Старостами видано 1552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довідки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різного характеру, вчинено 387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нотаріальних дій, здійснено 592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реєстраційні дії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Менська міська рада є активним членом Асоціації міст України, Асоціації громад, Всеукраїнської асоціації сільських селищних рад та об’єднаних громад, Асоціації “Енергоефективні міста України”.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З метою вивчення практичного застосування перейнятого досвіду, міська рада організовує підписання меморандумів, угод про співробіт</w:t>
      </w:r>
      <w:r>
        <w:rPr>
          <w:rFonts w:eastAsiaTheme="minorHAnsi"/>
          <w:color w:val="000000"/>
          <w:sz w:val="28"/>
          <w:szCs w:val="28"/>
          <w:highlight w:val="none"/>
        </w:rPr>
        <w:t xml:space="preserve">ництво громадськими організаціями, фондами, громадами, міжнародними партнерами.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Продовжуються роботи, спрямовані на покращення надання якісних адміністративних послуг, в тому числі в сільській місцевості. В адміністративному центрі громади проводяться роботи з реконструкції приміщення для розміщення там належног</w:t>
      </w:r>
      <w:r>
        <w:rPr>
          <w:rFonts w:eastAsiaTheme="minorHAnsi"/>
          <w:color w:val="000000"/>
          <w:sz w:val="28"/>
          <w:szCs w:val="28"/>
        </w:rPr>
        <w:t xml:space="preserve">о Центру надання адміністрати</w:t>
      </w:r>
      <w:r>
        <w:rPr>
          <w:rFonts w:eastAsiaTheme="minorHAnsi"/>
          <w:color w:val="000000"/>
          <w:sz w:val="28"/>
          <w:szCs w:val="28"/>
        </w:rPr>
        <w:t xml:space="preserve">вних послуг, в сільських населених пунктах збільшено кількість віддалених робочих місць, шляхом зміни структури і введенням додаткових посад адміністраторів та спеціалістів ЦНАПу, отримано “мобільну валізку”, проведено роботи з покращення інтернет-зв’язку.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Всього на реалізацію заходів даної Програми, за 1 квартал 2023 року використано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30 276,00</w:t>
      </w:r>
      <w:r>
        <w:rPr>
          <w:rFonts w:eastAsiaTheme="minorHAnsi"/>
          <w:bCs/>
          <w:color w:val="000000"/>
          <w:sz w:val="28"/>
          <w:szCs w:val="28"/>
        </w:rPr>
        <w:t xml:space="preserve"> грн.</w:t>
      </w:r>
      <w:r>
        <w:rPr>
          <w:rFonts w:eastAsiaTheme="minorHAnsi"/>
          <w:color w:val="000000"/>
          <w:sz w:val="28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851" w:right="567" w:bottom="822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left"/>
      <w:tabs>
        <w:tab w:val="left" w:pos="780" w:leader="none"/>
        <w:tab w:val="clear" w:pos="4677" w:leader="none"/>
        <w:tab w:val="clear" w:pos="9355" w:leader="none"/>
      </w:tabs>
      <w:rPr>
        <w:rStyle w:val="922"/>
      </w:rPr>
      <w:framePr w:h="245" w:wrap="around" w:vAnchor="page" w:hAnchor="margin" w:xAlign="right" w:y="16115" w:hRule="atLeas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forms.gle/TfvdwWX5Beo6aUB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40</cp:revision>
  <dcterms:created xsi:type="dcterms:W3CDTF">2022-10-06T09:25:00Z</dcterms:created>
  <dcterms:modified xsi:type="dcterms:W3CDTF">2023-06-03T14:26:40Z</dcterms:modified>
</cp:coreProperties>
</file>