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sz w:val="28"/>
        </w:rPr>
        <w:t xml:space="preserve">Додаток </w:t>
      </w:r>
      <w:r>
        <w:rPr>
          <w:rFonts w:ascii="Times New Roman" w:hAnsi="Times New Roman"/>
          <w:bCs/>
          <w:sz w:val="28"/>
          <w:lang w:val="uk-UA"/>
        </w:rPr>
      </w:r>
      <w:r/>
    </w:p>
    <w:p>
      <w:pPr>
        <w:ind w:left="5812"/>
        <w:spacing w:lineRule="auto" w:line="240" w:after="0" w:afterAutospacing="0" w:before="0" w:beforeAutospacing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35 сесії Менської міської ради 8 скликання</w:t>
      </w:r>
      <w:r>
        <w:rPr>
          <w:rFonts w:ascii="Times New Roman" w:hAnsi="Times New Roman"/>
          <w:sz w:val="28"/>
        </w:rPr>
      </w:r>
      <w:r/>
    </w:p>
    <w:p>
      <w:pPr>
        <w:pStyle w:val="918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 02</w:t>
      </w:r>
      <w:r>
        <w:rPr>
          <w:sz w:val="28"/>
          <w:lang w:val="uk-UA"/>
        </w:rPr>
        <w:t xml:space="preserve"> червня</w:t>
      </w:r>
      <w:r>
        <w:rPr>
          <w:sz w:val="28"/>
          <w:lang w:val="uk-UA"/>
        </w:rPr>
        <w:t xml:space="preserve"> 2023 року № 279</w:t>
      </w:r>
      <w:r>
        <w:rPr>
          <w:sz w:val="28"/>
          <w:lang w:val="uk-UA"/>
        </w:rPr>
      </w:r>
      <w:r/>
    </w:p>
    <w:p>
      <w:pPr>
        <w:pStyle w:val="918"/>
        <w:ind w:firstLine="851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/>
    </w:p>
    <w:p>
      <w:pPr>
        <w:ind w:right="-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ПРОГРАМА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сприяння діяльності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установи «Менська виправна колонія (№91)»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в рамках Стратегії реформування пенітенціарної системи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на 2023 рік</w:t>
      </w:r>
      <w:r/>
    </w:p>
    <w:p>
      <w:pPr>
        <w:ind w:firstLine="85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ind w:right="-1" w:firstLine="851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shd w:val="nil" w:color="auto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val="uk-UA"/>
        </w:rPr>
        <w:br w:type="page"/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val="uk-UA"/>
        </w:rPr>
      </w:r>
      <w:r/>
    </w:p>
    <w:p>
      <w:pPr>
        <w:ind w:firstLine="851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Зміст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 Програми</w:t>
      </w:r>
      <w:r/>
    </w:p>
    <w:p>
      <w:pPr>
        <w:ind w:firstLine="709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1. Паспорт програми</w:t>
      </w:r>
      <w:r/>
    </w:p>
    <w:p>
      <w:pPr>
        <w:jc w:val="both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color w:val="000000"/>
          <w:sz w:val="28"/>
          <w:szCs w:val="24"/>
          <w:lang w:val="uk-UA"/>
        </w:rPr>
        <w:outlineLvl w:val="1"/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4"/>
          <w:lang w:val="uk-UA"/>
        </w:rPr>
        <w:t xml:space="preserve">2. Визначення проблем, на розв’язання яких спрямована програма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3. Мета програми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Шляхи і засоби розв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язання проблеми, обсяги та джерела фінансування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Ресурсне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" w:eastAsia="Times New Roman"/>
          <w:bCs/>
          <w:sz w:val="28"/>
          <w:szCs w:val="28"/>
          <w:lang w:val="uk-UA"/>
        </w:rPr>
        <w:t xml:space="preserve">сприяння діяльності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державної установи «Менська виправна колонія (№91)» Міністерства юстиції України Державної кримінально – виконавчої служби України на 2023 рік.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 Перелік завдань, заходів програми та результативні показники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 Напрямки діяльності та заходи Програми 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 Очікувані результати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9. Прогноз результатів виконання програми</w:t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10. Механізм управління та здійснення контролю за виконанням програми.</w:t>
      </w:r>
      <w:r/>
    </w:p>
    <w:p>
      <w:pPr>
        <w:ind w:firstLine="851"/>
        <w:jc w:val="both"/>
        <w:spacing w:lineRule="auto" w:line="240" w:after="0" w:afterAutospacing="0" w:before="0" w:beforeAutospacing="0"/>
        <w:shd w:val="clear" w:fill="FFFFFF" w:color="auto"/>
        <w:tabs>
          <w:tab w:val="left" w:pos="8205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ab/>
      </w:r>
      <w:r/>
    </w:p>
    <w:p>
      <w:pPr>
        <w:shd w:val="nil" w:color="auto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ind w:firstLine="851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1. ПАСПОРТ ПРОГРАМИ</w:t>
      </w:r>
      <w:r/>
    </w:p>
    <w:tbl>
      <w:tblPr>
        <w:tblW w:w="9781" w:type="dxa"/>
        <w:tblInd w:w="108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5954"/>
      </w:tblGrid>
      <w:tr>
        <w:trPr>
          <w:trHeight w:val="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17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рограма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сприяння діяльності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ержавної установи «Менська виправна колонія (№91)» в рамках Стратегії реформування пенітенціарної системи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 на 2023 рік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Дата, номер і назва документів використаних при розробці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«Про місцеве самоврядування в Україні»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21.05.1997 №280/97-ВР,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Кримінально-виконавчого кодексу України та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Закону України "Про Державну кримінально-виконавчу службу України" від 23 червня 2005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№ 2713-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Бюджетний кодекс України від 08.07.2010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2456-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Розпорядження Кабінету Міністрів України від 16 грудня 2022 року № 1153-р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fill="FFFFFF" w:color="auto"/>
                <w:lang w:val="uk-UA"/>
              </w:rPr>
              <w:t xml:space="preserve">Про схвалення Стратегії реформування пенітенціарної системи на період до 2026 року та затвердження операційного плану її реалізації у 2022-2024 роках»</w:t>
            </w:r>
            <w:r/>
          </w:p>
        </w:tc>
      </w:tr>
      <w:tr>
        <w:trPr>
          <w:trHeight w:val="7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Державна установа «Менська виправна колонія (№91)»</w:t>
            </w:r>
            <w:r/>
          </w:p>
        </w:tc>
      </w:tr>
      <w:tr>
        <w:trPr>
          <w:trHeight w:val="5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  <w:p>
            <w:pPr>
              <w:ind w:left="0" w:right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4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Співрозробник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Державна установа «Менська виправна колонія (№91)»</w:t>
            </w:r>
            <w:r/>
          </w:p>
        </w:tc>
      </w:tr>
      <w:tr>
        <w:trPr>
          <w:trHeight w:val="3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Державна установа «Менська виправна колонія (№91)»</w:t>
            </w:r>
            <w:r/>
          </w:p>
        </w:tc>
      </w:tr>
      <w:tr>
        <w:trPr>
          <w:trHeight w:val="8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Державна установа «Менська виправна колонія (№91)»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, Менська міська рада</w:t>
            </w:r>
            <w:r/>
          </w:p>
        </w:tc>
      </w:tr>
      <w:tr>
        <w:trPr>
          <w:trHeight w:val="5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2023 рік</w:t>
            </w:r>
            <w:r/>
          </w:p>
        </w:tc>
      </w:tr>
      <w:tr>
        <w:trPr>
          <w:trHeight w:val="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" w:type="dxa"/>
            <w:textDirection w:val="lrTb"/>
            <w:noWrap/>
          </w:tcPr>
          <w:p>
            <w:pPr>
              <w:numPr>
                <w:ilvl w:val="0"/>
                <w:numId w:val="27"/>
              </w:numPr>
              <w:ind w:left="0" w:right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/>
          </w:tcPr>
          <w:p>
            <w:pPr>
              <w:ind w:left="0" w:right="0" w:firstLine="34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4" w:type="dxa"/>
            <w:textDirection w:val="lrTb"/>
            <w:noWrap/>
          </w:tcPr>
          <w:p>
            <w:pPr>
              <w:ind w:left="0" w:right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2023 рік</w:t>
            </w:r>
            <w:r/>
          </w:p>
        </w:tc>
      </w:tr>
    </w:tbl>
    <w:p>
      <w:pPr>
        <w:ind w:firstLine="851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 w:afterAutospacing="0" w:before="0" w:beforeAutospacing="0"/>
        <w:shd w:val="nil" w:color="auto"/>
        <w:rPr>
          <w:rFonts w:ascii="Times New Roman" w:hAnsi="Times New Roman" w:cs="Times New Roman" w:eastAsia="Times New Roman"/>
          <w:b/>
          <w:color w:val="000000"/>
          <w:sz w:val="28"/>
          <w:szCs w:val="24"/>
          <w:lang w:val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4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4"/>
          <w:highlight w:val="none"/>
          <w:lang w:val="uk-UA"/>
        </w:rPr>
      </w:r>
      <w:r/>
    </w:p>
    <w:p>
      <w:pPr>
        <w:jc w:val="center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24"/>
          <w:highlight w:val="none"/>
          <w:lang w:val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4"/>
          <w:lang w:val="uk-UA"/>
        </w:rPr>
        <w:t xml:space="preserve">2. Визначення проблем, на розв’язання яких спрямована програма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</w:rPr>
        <w:suppressLineNumbers w:val="0"/>
      </w:pP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Дотримання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основних прав засуджених при виконаннi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кримiнальних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покарань є одним із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основних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завдань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демократичної, цивілізованої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держави.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</w:rPr>
        <w:suppressLineNumbers w:val="0"/>
      </w:pP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Протягом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останього часу Державн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ою кримінально - виконавчою службою України вжито комплекс орган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зац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йних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практичних заход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в, спрямованих на виконання вимог законодавства щодо забезпечення належних умов утримання в установах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Державної крим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нально-виконавчої служби засуджених та ос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б, взятих п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д варту.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Проведена робота дозволила досягти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певних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позитивних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результатiв.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</w:rPr>
        <w:suppressLineNumbers w:val="0"/>
      </w:pP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Проте, наявний стан справ ще не повною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мiрою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вiдповiдає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сучасним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вимогам у 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Державній кримінально – виконавчій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сферi. На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виявлення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недолiкiв у роботi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органiв i установ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виконання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покарань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вказують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положення i висновки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доповiдей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Європейського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комiтету по запобiганню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тортурам та нелюдському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поводженню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чи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покаранню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або такому, що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принижує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гiднiсть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осіб взятих під варту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Уповноваженого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Верховної Ради України з прав людини, подання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Генеральної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прокуратури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України, де мiстяться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факти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окремих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вiдхилень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що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до умов тримання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засуджених та осiб, взятих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пiд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варту.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Courier New" w:hAnsi="Courier New" w:cs="Courier New" w:eastAsia="Times New Roman"/>
          <w:color w:val="000000"/>
          <w:sz w:val="20"/>
        </w:rPr>
        <w:suppressLineNumbers w:val="0"/>
      </w:pP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Причин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ами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 та умов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ами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зазначеного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є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: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недостатнiй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рiвень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фiнансування i матерiально-технiчного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забезпечення, низька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ефективнiсть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власного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hAnsi="Times New Roman" w:cs="Courier New" w:eastAsia="Times New Roman"/>
          <w:color w:val="000000"/>
          <w:sz w:val="28"/>
          <w:lang w:eastAsia="uk-UA"/>
        </w:rPr>
        <w:t xml:space="preserve">виробництва.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цим матеріально-технічна база установи виконання покарань, умов тримання засуджених та осіб, взятих під варту, не повною мірою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ідповідають вимогам Кримінально-виконавчого кодексу України, Закону України «Про попереднє ув’язнення», Декларації прав людини і основоположних свобод, а також мінімальним стандартним правилам поводження з ув’язненими та Європейським в’язничним правилам.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Наближається до критичної межі технічний стан більшості об’єктів інженерного та комунально-побутового забезпечення, а також технологічного обладнання і транспортних засобів виправної колонії.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  <w:szCs w:val="20"/>
        </w:rPr>
        <w:suppressLineNumbers w:val="0"/>
      </w:pP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  <w:t xml:space="preserve">Необхідне проведення капітальних та поточних ремонтів у адміністративних та службових приміщеннях також гуртожитків соціально – виховної та психологічної роботи й інших приміщень установи.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забезпечення більш якісного контролю за оперативною обстановкою в установі, недопущення скоєння засудженими нових злочинів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потрапляння в охорону зону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заборонених предметів (наркотичних та психотропних засобів, мобільн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их телефонів тощо) необхідно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провести ремонтні роботи основної огорожі виправної колонії, придбати відповідні технічні засоби для блокування та виявлення заборонених предметів, бюджетні кошти на придбання яких протягом останніх років не виділялись взагалі.</w:t>
      </w:r>
      <w:r/>
    </w:p>
    <w:p>
      <w:pPr>
        <w:ind w:right="-1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часткового розв’язання цих та інших проблем  діяльності установи виконання покарань покликана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сприяння діяльності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ержавної установи «Менська виправна колонія (№91)» в рамках Стратегії реформування пенітенціарної системи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на 2023 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right="-1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ind w:right="-1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 w:eastAsia="Times New Roman"/>
          <w:color w:val="000000"/>
          <w:sz w:val="28"/>
          <w:szCs w:val="28"/>
          <w:lang w:val="uk-UA"/>
        </w:rPr>
      </w:pPr>
      <w:r>
        <w:rPr>
          <w:rFonts w:ascii="Courier New" w:hAnsi="Courier New" w:cs="Courier New" w:eastAsia="Times New Roman"/>
          <w:color w:val="000000"/>
          <w:sz w:val="28"/>
          <w:szCs w:val="28"/>
          <w:lang w:val="uk-UA"/>
        </w:rPr>
      </w:r>
      <w:r/>
    </w:p>
    <w:p>
      <w:pPr>
        <w:ind w:firstLine="5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3. Мета програми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Основною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метою Програми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створення гуманного середовища, забезпечення безпечн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ості тримання, прав засуджених та осіб, взятих під варту, приведення матеріально-технічного забезпечення установ виконання покарань та слідчих ізоляторів і умов тримання у відповідність з вимогами національного законодавства та міжнародно-правових актів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установі Державної кримінально – виконавчої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служби на території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територіальної громади.</w:t>
      </w:r>
      <w:r/>
    </w:p>
    <w:p>
      <w:pPr>
        <w:ind w:firstLine="708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8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4. Шляхи і засоби розв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язання проблеми, обсяги та джерела фінансування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Фінансув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ання Програми здійснюється за рахунок коштів бюджету Менської міс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можливостей, з врахуванням вимог ст. 85 Бюджетного кодексу України.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Фінансува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ння 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Програми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 може здійснюватися шляхом передачі субвенції з місцевого бюджету державному бюджету. 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5. Ресурсне забезпечення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рограми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4738" w:type="pct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6"/>
        <w:gridCol w:w="240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36" w:type="dxa"/>
            <w:vAlign w:val="center"/>
            <w:textDirection w:val="lrTb"/>
            <w:noWrap/>
          </w:tcPr>
          <w:p>
            <w:pPr>
              <w:ind w:left="142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Бюджет Менської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4" w:type="dxa"/>
            <w:vAlign w:val="center"/>
            <w:textDirection w:val="lrTb"/>
            <w:noWrap/>
          </w:tcPr>
          <w:p>
            <w:pPr>
              <w:ind w:left="142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366 840  грн.</w:t>
            </w:r>
            <w:r/>
          </w:p>
        </w:tc>
      </w:tr>
    </w:tbl>
    <w:p>
      <w:pPr>
        <w:ind w:firstLine="568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firstLine="568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6. Перелік завдань, заходів програми та результативні показники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Програмі передбачається реалізація комплексу заходів із забезпечення належного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рівня безпеки та правопорядку в установі виконання покарань, приведення умов тримання засуджених відповідно до вимог мінімальних стандартних правил поводження з ув’язн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еними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норм Європейських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в’язничних правил, а саме:</w:t>
      </w:r>
      <w:r/>
    </w:p>
    <w:p>
      <w:pPr>
        <w:pStyle w:val="924"/>
        <w:numPr>
          <w:ilvl w:val="0"/>
          <w:numId w:val="32"/>
        </w:numPr>
        <w:ind w:right="43"/>
        <w:jc w:val="both"/>
        <w:spacing w:lineRule="auto" w:line="240" w:after="0" w:afterAutospacing="0" w:before="0" w:beforeAutospacing="0"/>
        <w:shd w:val="clear" w:fill="FFFFFF" w:color="auto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приведення у відповідність з міжнародними стандартами матеріально-побутових та санітарно-гігієнічних умов тримання засуджених та осіб, взятих під варту;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Реалізація 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за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ходів Програми</w:t>
      </w:r>
      <w:r>
        <w:rPr>
          <w:rFonts w:ascii="Times New Roman" w:hAnsi="Times New Roman" w:cs="Courier New" w:eastAsia="Times New Roman"/>
          <w:color w:val="000000"/>
          <w:sz w:val="28"/>
          <w:szCs w:val="28"/>
          <w:lang w:val="uk-UA" w:eastAsia="uk-UA"/>
        </w:rPr>
        <w:t xml:space="preserve"> дозволить:</w:t>
      </w:r>
      <w:r>
        <w:rPr>
          <w:rFonts w:ascii="Times New Roman" w:hAnsi="Times New Roman" w:cs="Courier New" w:eastAsia="Times New Roman"/>
          <w:color w:val="000000"/>
          <w:sz w:val="28"/>
          <w:lang w:val="uk-UA" w:eastAsia="uk-UA"/>
        </w:rPr>
      </w:r>
      <w:r/>
    </w:p>
    <w:p>
      <w:pPr>
        <w:pStyle w:val="927"/>
        <w:ind w:firstLine="45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</w:t>
      </w:r>
      <w:r>
        <w:rPr>
          <w:sz w:val="28"/>
          <w:szCs w:val="28"/>
          <w:lang w:val="uk-UA"/>
        </w:rPr>
        <w:t xml:space="preserve">сти</w:t>
      </w:r>
      <w:r>
        <w:rPr>
          <w:sz w:val="28"/>
          <w:szCs w:val="28"/>
        </w:rPr>
        <w:t xml:space="preserve"> у відповідність з міжнародними стандартами матеріально-побутових та санітарно-гігієнічних умов тримання засуджених та осіб, взятих під варту;</w:t>
      </w:r>
      <w:r/>
    </w:p>
    <w:p>
      <w:pPr>
        <w:pStyle w:val="927"/>
        <w:ind w:firstLine="45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</w:rPr>
      </w:pPr>
      <w:r/>
      <w:bookmarkStart w:id="0" w:name="n111"/>
      <w:r/>
      <w:bookmarkEnd w:id="0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віднов</w:t>
      </w:r>
      <w:r>
        <w:rPr>
          <w:sz w:val="28"/>
          <w:szCs w:val="28"/>
          <w:lang w:val="uk-UA"/>
        </w:rPr>
        <w:t xml:space="preserve">ити</w:t>
      </w:r>
      <w:r>
        <w:rPr>
          <w:sz w:val="28"/>
          <w:szCs w:val="28"/>
        </w:rPr>
        <w:t xml:space="preserve"> та онов</w:t>
      </w:r>
      <w:r>
        <w:rPr>
          <w:sz w:val="28"/>
          <w:szCs w:val="28"/>
          <w:lang w:val="uk-UA"/>
        </w:rPr>
        <w:t xml:space="preserve">ити</w:t>
      </w:r>
      <w:r>
        <w:rPr>
          <w:sz w:val="28"/>
          <w:szCs w:val="28"/>
        </w:rPr>
        <w:t xml:space="preserve"> інфраструктур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</w:rPr>
        <w:t xml:space="preserve"> установ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;</w:t>
      </w:r>
      <w:r/>
    </w:p>
    <w:p>
      <w:pPr>
        <w:pStyle w:val="927"/>
        <w:ind w:firstLine="45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112"/>
      <w:r/>
      <w:bookmarkEnd w:id="1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створ</w:t>
      </w:r>
      <w:r>
        <w:rPr>
          <w:sz w:val="28"/>
          <w:szCs w:val="28"/>
          <w:lang w:val="uk-UA"/>
        </w:rPr>
        <w:t xml:space="preserve">ити</w:t>
      </w:r>
      <w:r>
        <w:rPr>
          <w:sz w:val="28"/>
          <w:szCs w:val="28"/>
        </w:rPr>
        <w:t xml:space="preserve"> механізм, спрямован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</w:rPr>
        <w:t xml:space="preserve"> на поновлення прав засуджених та осіб, взятих під варту, у зв’язку з неналежними умовами тримання</w:t>
      </w:r>
      <w:bookmarkStart w:id="2" w:name="n113"/>
      <w:r/>
      <w:bookmarkEnd w:id="2"/>
      <w:r>
        <w:rPr>
          <w:sz w:val="28"/>
          <w:szCs w:val="28"/>
          <w:lang w:val="uk-UA"/>
        </w:rPr>
        <w:t xml:space="preserve">.</w:t>
      </w:r>
      <w:r/>
    </w:p>
    <w:p>
      <w:pPr>
        <w:pStyle w:val="927"/>
        <w:ind w:firstLine="45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8"/>
          <w:lang w:val="uk-UA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9" w:h="16834" w:orient="portrait"/>
          <w:pgMar w:top="993" w:right="567" w:bottom="709" w:left="1701" w:header="720" w:footer="720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7. Напрямки діяльності та заходи Програми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tbl>
      <w:tblPr>
        <w:tblW w:w="15765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6"/>
        <w:gridCol w:w="709"/>
        <w:gridCol w:w="2693"/>
        <w:gridCol w:w="1697"/>
        <w:gridCol w:w="1988"/>
        <w:gridCol w:w="2722"/>
      </w:tblGrid>
      <w:tr>
        <w:trPr>
          <w:trHeight w:val="2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№ з/п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Перелік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Програми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виконання заходу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Виконавці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vMerge w:val="restart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фінансування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Орієнтовні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обсяги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фінансуванн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  <w:lang w:val="uk-UA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грн., у тому числі: 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Очікуваний результат</w:t>
            </w:r>
            <w:r>
              <w:rPr>
                <w:sz w:val="16"/>
              </w:rPr>
            </w:r>
            <w:r/>
          </w:p>
        </w:tc>
      </w:tr>
      <w:tr>
        <w:trPr>
          <w:trHeight w:val="4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6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9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6"/>
              </w:rPr>
              <w:t xml:space="preserve">2023 р.</w:t>
            </w:r>
            <w:r>
              <w:rPr>
                <w:sz w:val="16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2" w:type="dxa"/>
            <w:vAlign w:val="center"/>
            <w:vMerge w:val="continue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6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будівельних та господарськ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матеріалів для проведення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поточних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btLr"/>
            <w:noWrap/>
          </w:tcPr>
          <w:p>
            <w:pPr>
              <w:ind w:left="113" w:right="113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2023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державна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установа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Ме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нська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виправна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колонія (№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1)»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9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8" w:type="dxa"/>
            <w:vAlign w:val="center"/>
            <w:textDirection w:val="lrTb"/>
            <w:noWrap/>
          </w:tcPr>
          <w:p>
            <w:pPr>
              <w:ind w:left="-108" w:right="-108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366 840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 w:color="auto"/>
                <w:lang w:val="uk-UA"/>
              </w:rPr>
              <w:t xml:space="preserve">Забезпечення безпечності тримання, прав засуджених та осіб, взятих під варту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  <w:sectPr>
          <w:footnotePr/>
          <w:endnotePr/>
          <w:type w:val="nextPage"/>
          <w:pgSz w:w="16834" w:h="11909" w:orient="landscape"/>
          <w:pgMar w:top="1134" w:right="567" w:bottom="567" w:left="567" w:header="720" w:footer="720" w:gutter="0"/>
          <w:pgNumType w:start="5"/>
          <w:cols w:num="1" w:sep="0" w:space="720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8. ОЧІКУВАНІ  РЕЗУЛЬТАТИ</w:t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Результатами виконання комплексу завдань, передбачених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, мають бути: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забезпеч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ення належного рівня безпеки населення, захищеності території Менської територіальної громади від злочинних посягань;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удосконалення механізму проведення моніторингу і прогнозування виникнення правопорушення;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своєчасне реагування на вчинення кримінальних правопорушень та інші події;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забезпечення своєчасного реагування на зміни в оперативній обстановці на території Менської територіальної громади;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надання в межах, визначених законом, послуг з допомоги особам, які з особистих, економічних, соціальних причин або внаслідок надзвичайних ситуацій потребують такої допомоги;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поліпшення стану матеріально-технічного забезпечення державної установи «Менська виправна колонія (№91)»;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підвищенн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 ефективності використання коштів, що спрямовуються на здійснення заходів захисту населення і територій від учинення кримінальних та адміністративних правопорушень.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9. ПРОГНОЗ РЕЗУЛЬТАТІВ ВИКОНАННЯ ПРОГРАМИ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Програми дасть змогу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створити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належн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тримання засуджених та осіб, взятих під варту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/>
    </w:p>
    <w:p>
      <w:pPr>
        <w:ind w:firstLine="993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10. МЕХАНІЗМ УПРАВЛІННЯ ТА ЗДІЙСНЕННЯ КОНТРОЛЮ ЗА ВИКОНАННЯМ ПРОГРАМИ</w:t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ординація роботи, пов’язаної з проведенням заходів, передбачених цією Програмою, та здійснення контролю за її виконанням покладається на державну установу «Менська виправна колонія (№91)»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троль за реалізацією заходів, передбачених Програмою, здійсн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ює 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</w:p>
    <w:p>
      <w:pPr>
        <w:ind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</w:p>
    <w:p>
      <w:pPr>
        <w:ind w:firstLine="0"/>
        <w:jc w:val="both"/>
        <w:spacing w:lineRule="auto" w:line="240" w:after="0" w:afterAutospacing="0" w:before="0" w:beforeAutospacing="0"/>
        <w:widowControl w:val="off"/>
        <w:tabs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В.о. завідувача </w:t>
      </w:r>
      <w:r>
        <w:rPr>
          <w:rFonts w:ascii="Times New Roman" w:hAnsi="Times New Roman" w:cs="Times New Roman" w:eastAsia="Times New Roman"/>
          <w:sz w:val="28"/>
        </w:rPr>
        <w:t xml:space="preserve">Сектору оборонної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 w:afterAutospacing="0" w:before="0" w:beforeAutospacing="0"/>
        <w:widowControl w:val="off"/>
        <w:tabs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роботи, цивільного захисту населення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 w:after="0" w:afterAutospacing="0" w:before="0" w:beforeAutospacing="0"/>
        <w:widowControl w:val="off"/>
        <w:tabs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та роботи з правоохоронними органами</w:t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right"/>
      <w:tabs>
        <w:tab w:val="left" w:pos="2835" w:leader="none"/>
        <w:tab w:val="left" w:pos="4252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333" w:hanging="360"/>
        <w:tabs>
          <w:tab w:val="num" w:pos="2333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0" w:hanging="360"/>
        <w:tabs>
          <w:tab w:val="num" w:pos="200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0" w:hanging="360"/>
        <w:tabs>
          <w:tab w:val="num" w:pos="27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0" w:hanging="360"/>
        <w:tabs>
          <w:tab w:val="num" w:pos="3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0" w:hanging="360"/>
        <w:tabs>
          <w:tab w:val="num" w:pos="41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0" w:hanging="360"/>
        <w:tabs>
          <w:tab w:val="num" w:pos="48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0" w:hanging="360"/>
        <w:tabs>
          <w:tab w:val="num" w:pos="56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0" w:hanging="360"/>
        <w:tabs>
          <w:tab w:val="num" w:pos="63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0" w:hanging="360"/>
        <w:tabs>
          <w:tab w:val="num" w:pos="704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827" w:hanging="360"/>
      </w:pPr>
      <w:rPr>
        <w:rFonts w:ascii="Calibri" w:hAnsi="Calibri" w:cs="Calibri" w:eastAsiaTheme="minorEastAsia" w:hint="default"/>
        <w:color w:val="333333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5"/>
  </w:num>
  <w:num w:numId="5">
    <w:abstractNumId w:val="23"/>
  </w:num>
  <w:num w:numId="6">
    <w:abstractNumId w:val="0"/>
  </w:num>
  <w:num w:numId="7">
    <w:abstractNumId w:val="1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8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9">
    <w:abstractNumId w:val="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0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2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4">
    <w:abstractNumId w:val="19"/>
  </w:num>
  <w:num w:numId="15">
    <w:abstractNumId w:val="6"/>
  </w:num>
  <w:num w:numId="16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8">
    <w:abstractNumId w:val="3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0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7"/>
  </w:num>
  <w:num w:numId="23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5">
    <w:abstractNumId w:val="1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6">
    <w:abstractNumId w:val="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7">
    <w:abstractNumId w:val="1"/>
  </w:num>
  <w:num w:numId="28">
    <w:abstractNumId w:val="5"/>
  </w:num>
  <w:num w:numId="29">
    <w:abstractNumId w:val="12"/>
  </w:num>
  <w:num w:numId="30">
    <w:abstractNumId w:val="13"/>
  </w:num>
  <w:num w:numId="31">
    <w:abstractNumId w:val="12"/>
  </w:num>
  <w:num w:numId="32">
    <w:abstractNumId w:val="24"/>
  </w:num>
  <w:num w:numId="33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40" w:after="100" w:afterAutospacing="1"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Title Char"/>
    <w:basedOn w:val="739"/>
    <w:link w:val="760"/>
    <w:uiPriority w:val="10"/>
    <w:rPr>
      <w:sz w:val="48"/>
      <w:szCs w:val="48"/>
    </w:rPr>
  </w:style>
  <w:style w:type="character" w:styleId="733">
    <w:name w:val="Subtitle Char"/>
    <w:basedOn w:val="739"/>
    <w:link w:val="762"/>
    <w:uiPriority w:val="11"/>
    <w:rPr>
      <w:sz w:val="24"/>
      <w:szCs w:val="24"/>
    </w:rPr>
  </w:style>
  <w:style w:type="character" w:styleId="734">
    <w:name w:val="Quote Char"/>
    <w:link w:val="764"/>
    <w:uiPriority w:val="29"/>
    <w:rPr>
      <w:i/>
    </w:rPr>
  </w:style>
  <w:style w:type="character" w:styleId="735">
    <w:name w:val="Intense Quote Char"/>
    <w:link w:val="766"/>
    <w:uiPriority w:val="30"/>
    <w:rPr>
      <w:i/>
    </w:rPr>
  </w:style>
  <w:style w:type="character" w:styleId="736">
    <w:name w:val="Footnote Text Char"/>
    <w:link w:val="901"/>
    <w:uiPriority w:val="99"/>
    <w:rPr>
      <w:sz w:val="18"/>
    </w:rPr>
  </w:style>
  <w:style w:type="character" w:styleId="737">
    <w:name w:val="Endnote Text Char"/>
    <w:link w:val="904"/>
    <w:uiPriority w:val="99"/>
    <w:rPr>
      <w:sz w:val="20"/>
    </w:r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Heading 1"/>
    <w:basedOn w:val="738"/>
    <w:next w:val="738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3" w:customStyle="1">
    <w:name w:val="Heading 1 Char"/>
    <w:basedOn w:val="739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Heading 2"/>
    <w:basedOn w:val="738"/>
    <w:next w:val="738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5" w:customStyle="1">
    <w:name w:val="Heading 2 Char"/>
    <w:basedOn w:val="739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Heading 3"/>
    <w:basedOn w:val="738"/>
    <w:next w:val="738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739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8"/>
    <w:next w:val="738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739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8"/>
    <w:next w:val="738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739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8"/>
    <w:next w:val="738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739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8"/>
    <w:next w:val="738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739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8"/>
    <w:next w:val="738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739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73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8"/>
    <w:next w:val="738"/>
    <w:link w:val="7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1" w:customStyle="1">
    <w:name w:val="Название Знак"/>
    <w:basedOn w:val="739"/>
    <w:link w:val="760"/>
    <w:uiPriority w:val="10"/>
    <w:rPr>
      <w:sz w:val="48"/>
      <w:szCs w:val="48"/>
    </w:rPr>
  </w:style>
  <w:style w:type="paragraph" w:styleId="762">
    <w:name w:val="Subtitle"/>
    <w:basedOn w:val="738"/>
    <w:next w:val="738"/>
    <w:link w:val="763"/>
    <w:qFormat/>
    <w:uiPriority w:val="11"/>
    <w:rPr>
      <w:sz w:val="24"/>
      <w:szCs w:val="24"/>
    </w:rPr>
    <w:pPr>
      <w:spacing w:before="200"/>
    </w:pPr>
  </w:style>
  <w:style w:type="character" w:styleId="763" w:customStyle="1">
    <w:name w:val="Подзаголовок Знак"/>
    <w:basedOn w:val="739"/>
    <w:link w:val="762"/>
    <w:uiPriority w:val="11"/>
    <w:rPr>
      <w:sz w:val="24"/>
      <w:szCs w:val="24"/>
    </w:rPr>
  </w:style>
  <w:style w:type="paragraph" w:styleId="764">
    <w:name w:val="Quote"/>
    <w:basedOn w:val="738"/>
    <w:next w:val="738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8"/>
    <w:next w:val="738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 w:customStyle="1">
    <w:name w:val="Header"/>
    <w:basedOn w:val="738"/>
    <w:link w:val="769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769" w:customStyle="1">
    <w:name w:val="Header Char"/>
    <w:basedOn w:val="739"/>
    <w:link w:val="768"/>
    <w:uiPriority w:val="99"/>
  </w:style>
  <w:style w:type="paragraph" w:styleId="770" w:customStyle="1">
    <w:name w:val="Footer"/>
    <w:basedOn w:val="738"/>
    <w:link w:val="773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basedOn w:val="739"/>
    <w:link w:val="770"/>
    <w:uiPriority w:val="99"/>
  </w:style>
  <w:style w:type="paragraph" w:styleId="772" w:customStyle="1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73" w:customStyle="1">
    <w:name w:val="Caption Char"/>
    <w:link w:val="770"/>
    <w:uiPriority w:val="99"/>
  </w:style>
  <w:style w:type="table" w:styleId="774">
    <w:name w:val="Table Grid"/>
    <w:basedOn w:val="740"/>
    <w:uiPriority w:val="59"/>
    <w:pPr>
      <w:spacing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basedOn w:val="740"/>
    <w:uiPriority w:val="59"/>
    <w:pPr>
      <w:spacing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1"/>
    <w:basedOn w:val="740"/>
    <w:uiPriority w:val="59"/>
    <w:pPr>
      <w:spacing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2"/>
    <w:basedOn w:val="740"/>
    <w:uiPriority w:val="59"/>
    <w:pPr>
      <w:spacing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3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Plain Table 4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Plain Table 5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Grid Table 1 Light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4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40"/>
    <w:uiPriority w:val="59"/>
    <w:pPr>
      <w:spacing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Grid Table 5 Dark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6 Colorful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7 Colorful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1 Light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40"/>
    <w:uiPriority w:val="99"/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List Table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5 Dark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6 Colorful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List Table 7 Colorful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ned - Accent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Lined - Accent 1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Lined - Accent 2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Lined - Accent 3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Lined - Accent 4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Lined - Accent 5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Lined - Accent 6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 &amp; Lined - Accent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7" w:customStyle="1">
    <w:name w:val="Bordered &amp; Lined - Accent 1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8" w:customStyle="1">
    <w:name w:val="Bordered &amp; Lined - Accent 2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9" w:customStyle="1">
    <w:name w:val="Bordered &amp; Lined - Accent 3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0" w:customStyle="1">
    <w:name w:val="Bordered &amp; Lined - Accent 4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1" w:customStyle="1">
    <w:name w:val="Bordered &amp; Lined - Accent 5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2" w:customStyle="1">
    <w:name w:val="Bordered &amp; Lined - Accent 6"/>
    <w:basedOn w:val="740"/>
    <w:uiPriority w:val="99"/>
    <w:rPr>
      <w:color w:val="404040"/>
      <w:sz w:val="20"/>
      <w:szCs w:val="20"/>
    </w:rPr>
    <w:pPr>
      <w:spacing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3" w:customStyle="1">
    <w:name w:val="Bordered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basedOn w:val="740"/>
    <w:uiPriority w:val="99"/>
    <w:pPr>
      <w:spacing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738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739"/>
    <w:uiPriority w:val="99"/>
    <w:unhideWhenUsed/>
    <w:rPr>
      <w:vertAlign w:val="superscript"/>
    </w:rPr>
  </w:style>
  <w:style w:type="paragraph" w:styleId="904">
    <w:name w:val="endnote text"/>
    <w:basedOn w:val="738"/>
    <w:link w:val="905"/>
    <w:uiPriority w:val="99"/>
    <w:semiHidden/>
    <w:unhideWhenUsed/>
    <w:rPr>
      <w:sz w:val="20"/>
    </w:rPr>
    <w:pPr>
      <w:spacing w:after="0"/>
    </w:p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basedOn w:val="739"/>
    <w:uiPriority w:val="99"/>
    <w:semiHidden/>
    <w:unhideWhenUsed/>
    <w:rPr>
      <w:vertAlign w:val="superscript"/>
    </w:rPr>
  </w:style>
  <w:style w:type="paragraph" w:styleId="907">
    <w:name w:val="toc 1"/>
    <w:basedOn w:val="738"/>
    <w:next w:val="738"/>
    <w:uiPriority w:val="39"/>
    <w:unhideWhenUsed/>
    <w:pPr>
      <w:spacing w:after="57"/>
    </w:pPr>
  </w:style>
  <w:style w:type="paragraph" w:styleId="908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09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10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11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12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3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4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5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38"/>
    <w:next w:val="738"/>
    <w:uiPriority w:val="99"/>
    <w:unhideWhenUsed/>
    <w:pPr>
      <w:spacing w:after="0"/>
    </w:pPr>
  </w:style>
  <w:style w:type="paragraph" w:styleId="918">
    <w:name w:val="Normal (Web)"/>
    <w:basedOn w:val="738"/>
    <w:uiPriority w:val="99"/>
    <w:unhideWhenUsed/>
    <w:rPr>
      <w:rFonts w:ascii="Times New Roman" w:hAnsi="Times New Roman" w:cs="Times New Roman" w:eastAsia="Times New Roman"/>
      <w:sz w:val="24"/>
      <w:szCs w:val="24"/>
    </w:rPr>
  </w:style>
  <w:style w:type="character" w:styleId="919" w:customStyle="1">
    <w:name w:val="apple-tab-span"/>
    <w:basedOn w:val="739"/>
  </w:style>
  <w:style w:type="paragraph" w:styleId="920">
    <w:name w:val="Balloon Text"/>
    <w:basedOn w:val="738"/>
    <w:link w:val="921"/>
    <w:uiPriority w:val="99"/>
    <w:semiHidden/>
    <w:unhideWhenUsed/>
    <w:rPr>
      <w:rFonts w:ascii="Tahoma" w:hAnsi="Tahoma" w:cs="Tahoma"/>
      <w:sz w:val="16"/>
      <w:szCs w:val="16"/>
    </w:rPr>
    <w:pPr>
      <w:spacing w:after="0"/>
    </w:pPr>
  </w:style>
  <w:style w:type="character" w:styleId="921" w:customStyle="1">
    <w:name w:val="Текст выноски Знак"/>
    <w:basedOn w:val="739"/>
    <w:link w:val="920"/>
    <w:uiPriority w:val="99"/>
    <w:semiHidden/>
    <w:rPr>
      <w:rFonts w:ascii="Tahoma" w:hAnsi="Tahoma" w:cs="Tahoma"/>
      <w:sz w:val="16"/>
      <w:szCs w:val="16"/>
    </w:rPr>
  </w:style>
  <w:style w:type="paragraph" w:styleId="922" w:customStyle="1">
    <w:name w:val="1 Знак"/>
    <w:basedOn w:val="738"/>
    <w:rPr>
      <w:rFonts w:ascii="Verdana" w:hAnsi="Verdana" w:cs="Verdana" w:eastAsia="Times New Roman"/>
      <w:sz w:val="20"/>
      <w:szCs w:val="20"/>
      <w:lang w:val="en-US" w:eastAsia="en-US"/>
    </w:rPr>
    <w:pPr>
      <w:spacing w:after="0"/>
    </w:pPr>
  </w:style>
  <w:style w:type="character" w:styleId="923">
    <w:name w:val="Strong"/>
    <w:basedOn w:val="739"/>
    <w:qFormat/>
    <w:uiPriority w:val="22"/>
    <w:rPr>
      <w:b/>
      <w:bCs/>
    </w:rPr>
  </w:style>
  <w:style w:type="paragraph" w:styleId="924">
    <w:name w:val="List Paragraph"/>
    <w:basedOn w:val="738"/>
    <w:qFormat/>
    <w:uiPriority w:val="34"/>
    <w:pPr>
      <w:contextualSpacing w:val="true"/>
      <w:ind w:left="720"/>
    </w:pPr>
  </w:style>
  <w:style w:type="paragraph" w:styleId="925">
    <w:name w:val="No Spacing"/>
    <w:qFormat/>
    <w:uiPriority w:val="1"/>
    <w:pPr>
      <w:spacing w:after="0"/>
    </w:pPr>
  </w:style>
  <w:style w:type="paragraph" w:styleId="926" w:customStyle="1">
    <w:name w:val="docdata"/>
    <w:basedOn w:val="738"/>
    <w:rPr>
      <w:rFonts w:ascii="Times New Roman" w:hAnsi="Times New Roman" w:cs="Times New Roman" w:eastAsia="Times New Roman"/>
      <w:sz w:val="24"/>
      <w:szCs w:val="24"/>
    </w:rPr>
  </w:style>
  <w:style w:type="paragraph" w:styleId="927" w:customStyle="1">
    <w:name w:val="rvps2"/>
    <w:basedOn w:val="738"/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578D921-C366-4D71-BD1D-698B8BE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ПРИМАКОВ Геннадій Анатолійович</cp:lastModifiedBy>
  <cp:revision>58</cp:revision>
  <dcterms:created xsi:type="dcterms:W3CDTF">2023-03-06T09:33:00Z</dcterms:created>
  <dcterms:modified xsi:type="dcterms:W3CDTF">2023-06-05T06:49:46Z</dcterms:modified>
</cp:coreProperties>
</file>