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385" w:rsidRDefault="007E6385">
      <w:pPr>
        <w:widowControl w:val="0"/>
        <w:spacing w:line="240" w:lineRule="auto"/>
        <w:rPr>
          <w:rFonts w:eastAsia="Lucida Sans Unicode" w:cs="Mangal"/>
          <w:bCs/>
          <w:color w:val="000000"/>
          <w:sz w:val="28"/>
          <w:szCs w:val="28"/>
        </w:rPr>
      </w:pPr>
    </w:p>
    <w:p w:rsidR="007E6385" w:rsidRDefault="0082059B">
      <w:pPr>
        <w:widowControl w:val="0"/>
        <w:spacing w:line="240" w:lineRule="auto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7E6385" w:rsidRDefault="007E6385">
      <w:pPr>
        <w:widowControl w:val="0"/>
        <w:spacing w:line="240" w:lineRule="auto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7E6385" w:rsidRDefault="0082059B">
      <w:pPr>
        <w:widowControl w:val="0"/>
        <w:spacing w:line="240" w:lineRule="auto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7E6385" w:rsidRDefault="0082059B">
      <w:pPr>
        <w:widowControl w:val="0"/>
        <w:spacing w:line="240" w:lineRule="auto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7E6385" w:rsidRDefault="007E6385">
      <w:pPr>
        <w:widowControl w:val="0"/>
        <w:spacing w:line="240" w:lineRule="auto"/>
        <w:rPr>
          <w:rFonts w:eastAsia="Lucida Sans Unicode" w:cs="Mangal"/>
          <w:b/>
          <w:color w:val="000000"/>
          <w:sz w:val="28"/>
          <w:szCs w:val="28"/>
        </w:rPr>
      </w:pPr>
    </w:p>
    <w:p w:rsidR="007E6385" w:rsidRDefault="0082059B">
      <w:pPr>
        <w:widowControl w:val="0"/>
        <w:tabs>
          <w:tab w:val="left" w:pos="4394"/>
          <w:tab w:val="left" w:pos="7228"/>
        </w:tabs>
        <w:spacing w:line="240" w:lineRule="auto"/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/>
          <w:sz w:val="28"/>
          <w:szCs w:val="28"/>
          <w:lang w:eastAsia="hi-IN" w:bidi="hi-IN"/>
        </w:rPr>
        <w:t xml:space="preserve">26 </w:t>
      </w:r>
      <w:r>
        <w:rPr>
          <w:rFonts w:eastAsia="Lucida Sans Unicode" w:cs="Mangal"/>
          <w:color w:val="000000"/>
          <w:sz w:val="28"/>
          <w:szCs w:val="28"/>
        </w:rPr>
        <w:t>квітня</w:t>
      </w:r>
      <w:r>
        <w:rPr>
          <w:rFonts w:eastAsia="Lucida Sans Unicode" w:cs="Mangal"/>
          <w:color w:val="000000"/>
          <w:sz w:val="28"/>
          <w:szCs w:val="28"/>
          <w:lang w:val="ru-RU" w:eastAsia="hi-IN" w:bidi="hi-IN"/>
        </w:rPr>
        <w:t xml:space="preserve"> </w:t>
      </w:r>
      <w:r>
        <w:rPr>
          <w:rFonts w:eastAsia="Lucida Sans Unicode" w:cs="Mangal"/>
          <w:color w:val="000000"/>
          <w:sz w:val="28"/>
          <w:szCs w:val="28"/>
          <w:lang w:eastAsia="hi-IN" w:bidi="hi-IN"/>
        </w:rPr>
        <w:t>2023 року</w:t>
      </w:r>
      <w:r>
        <w:rPr>
          <w:rFonts w:eastAsia="Lucida Sans Unicode" w:cs="Mangal"/>
          <w:color w:val="000000"/>
          <w:sz w:val="28"/>
          <w:szCs w:val="28"/>
          <w:lang w:eastAsia="hi-IN" w:bidi="hi-IN"/>
        </w:rPr>
        <w:tab/>
        <w:t xml:space="preserve">м. </w:t>
      </w:r>
      <w:proofErr w:type="spellStart"/>
      <w:r>
        <w:rPr>
          <w:rFonts w:eastAsia="Lucida Sans Unicode" w:cs="Mangal"/>
          <w:color w:val="000000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color w:val="000000"/>
          <w:sz w:val="28"/>
          <w:szCs w:val="28"/>
          <w:lang w:eastAsia="hi-IN" w:bidi="hi-IN"/>
        </w:rPr>
        <w:tab/>
      </w:r>
      <w:r w:rsidR="002D7915">
        <w:rPr>
          <w:rFonts w:eastAsia="Lucida Sans Unicode" w:cs="Mangal"/>
          <w:color w:val="000000"/>
          <w:sz w:val="28"/>
          <w:szCs w:val="28"/>
          <w:lang w:eastAsia="hi-IN" w:bidi="hi-IN"/>
        </w:rPr>
        <w:t xml:space="preserve"> № 109</w:t>
      </w:r>
    </w:p>
    <w:p w:rsidR="007E6385" w:rsidRDefault="007E6385">
      <w:pPr>
        <w:widowControl w:val="0"/>
        <w:spacing w:line="240" w:lineRule="auto"/>
        <w:rPr>
          <w:rFonts w:cs="Mangal"/>
          <w:b/>
          <w:sz w:val="28"/>
          <w:szCs w:val="28"/>
          <w:lang w:eastAsia="hi-IN" w:bidi="hi-IN"/>
        </w:rPr>
      </w:pPr>
    </w:p>
    <w:p w:rsidR="007E6385" w:rsidRDefault="0082059B" w:rsidP="002D7915">
      <w:pPr>
        <w:widowControl w:val="0"/>
        <w:spacing w:line="240" w:lineRule="auto"/>
        <w:ind w:right="5811"/>
        <w:jc w:val="both"/>
        <w:rPr>
          <w:rFonts w:cs="Mangal"/>
          <w:b/>
          <w:sz w:val="28"/>
          <w:szCs w:val="28"/>
          <w:lang w:eastAsia="hi-IN" w:bidi="hi-IN"/>
        </w:rPr>
      </w:pPr>
      <w:r>
        <w:rPr>
          <w:rFonts w:cs="Mangal"/>
          <w:b/>
          <w:sz w:val="28"/>
          <w:szCs w:val="28"/>
          <w:lang w:eastAsia="hi-IN" w:bidi="hi-IN"/>
        </w:rPr>
        <w:t>Про заборону стоянки вантажних автомобілів</w:t>
      </w:r>
    </w:p>
    <w:p w:rsidR="007E6385" w:rsidRDefault="007E6385">
      <w:pPr>
        <w:widowControl w:val="0"/>
        <w:spacing w:line="240" w:lineRule="auto"/>
        <w:ind w:firstLine="907"/>
        <w:jc w:val="both"/>
        <w:rPr>
          <w:rFonts w:cs="Mangal"/>
          <w:sz w:val="28"/>
          <w:szCs w:val="28"/>
          <w:lang w:eastAsia="hi-IN" w:bidi="hi-IN"/>
        </w:rPr>
      </w:pPr>
    </w:p>
    <w:p w:rsidR="007E6385" w:rsidRDefault="0082059B">
      <w:pPr>
        <w:widowControl w:val="0"/>
        <w:spacing w:line="240" w:lineRule="auto"/>
        <w:ind w:firstLine="567"/>
        <w:jc w:val="both"/>
        <w:rPr>
          <w:rFonts w:cs="Mangal"/>
          <w:sz w:val="28"/>
          <w:szCs w:val="28"/>
          <w:lang w:eastAsia="hi-IN" w:bidi="hi-IN"/>
        </w:rPr>
      </w:pPr>
      <w:r>
        <w:rPr>
          <w:rFonts w:cs="Mangal"/>
          <w:sz w:val="28"/>
          <w:szCs w:val="28"/>
          <w:lang w:eastAsia="hi-IN" w:bidi="hi-IN"/>
        </w:rPr>
        <w:t xml:space="preserve">Розглянувши звернення начальника станції </w:t>
      </w:r>
      <w:proofErr w:type="spellStart"/>
      <w:r>
        <w:rPr>
          <w:rFonts w:cs="Mangal"/>
          <w:sz w:val="28"/>
          <w:szCs w:val="28"/>
          <w:lang w:eastAsia="hi-IN" w:bidi="hi-IN"/>
        </w:rPr>
        <w:t>Мена</w:t>
      </w:r>
      <w:proofErr w:type="spellEnd"/>
      <w:r>
        <w:rPr>
          <w:rFonts w:cs="Mangal"/>
          <w:sz w:val="28"/>
          <w:szCs w:val="28"/>
          <w:lang w:eastAsia="hi-IN" w:bidi="hi-IN"/>
        </w:rPr>
        <w:t xml:space="preserve"> Регіональної філії «Південно-західна залізниця» від 03 квітня 2023 року №03/04 щодо встановлення дорожніх знаків біля станції </w:t>
      </w:r>
      <w:proofErr w:type="spellStart"/>
      <w:r>
        <w:rPr>
          <w:rFonts w:cs="Mangal"/>
          <w:sz w:val="28"/>
          <w:szCs w:val="28"/>
          <w:lang w:eastAsia="hi-IN" w:bidi="hi-IN"/>
        </w:rPr>
        <w:t>Мена</w:t>
      </w:r>
      <w:proofErr w:type="spellEnd"/>
      <w:r>
        <w:rPr>
          <w:rFonts w:cs="Mangal"/>
          <w:sz w:val="28"/>
          <w:szCs w:val="28"/>
          <w:lang w:eastAsia="hi-IN" w:bidi="hi-IN"/>
        </w:rPr>
        <w:t xml:space="preserve">, з метою покращення умов обслуговування пасажирів та збереження цілісності асфальтного покриття, </w:t>
      </w:r>
      <w:r>
        <w:rPr>
          <w:sz w:val="28"/>
          <w:szCs w:val="28"/>
        </w:rPr>
        <w:t>відповідно до постанови Кабінету Міністрів України від 18 січня 2001 року № 30 «Про проїзд великогабаритних та великовагових транспортних засобів автомобільними дорогами, вулицями та залізничними переї</w:t>
      </w:r>
      <w:r w:rsidR="002D7915">
        <w:rPr>
          <w:sz w:val="28"/>
          <w:szCs w:val="28"/>
        </w:rPr>
        <w:t>здами»,</w:t>
      </w:r>
      <w:r>
        <w:rPr>
          <w:sz w:val="28"/>
          <w:szCs w:val="28"/>
        </w:rPr>
        <w:t xml:space="preserve"> ст. 19, ст. 20 Закону України «Про автомобільні дороги», ст. 6 Закону України «Про дорожній рух», Закону України «Про місцеве самоврядування в Україні», Закону України «Про благоустрій населених пунктів»,</w:t>
      </w:r>
      <w:r>
        <w:rPr>
          <w:rFonts w:cs="Mangal"/>
          <w:sz w:val="40"/>
          <w:szCs w:val="28"/>
          <w:lang w:eastAsia="hi-IN" w:bidi="hi-IN"/>
        </w:rPr>
        <w:t xml:space="preserve"> </w:t>
      </w:r>
      <w:r>
        <w:rPr>
          <w:sz w:val="28"/>
          <w:szCs w:val="28"/>
          <w:lang w:eastAsia="ru-RU"/>
        </w:rPr>
        <w:t>виконавчий комітет Менської  міської ради</w:t>
      </w:r>
    </w:p>
    <w:p w:rsidR="007E6385" w:rsidRDefault="0082059B">
      <w:pPr>
        <w:spacing w:line="240" w:lineRule="auto"/>
        <w:rPr>
          <w:rFonts w:cs="Mangal"/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ВИРІШИВ:</w:t>
      </w:r>
    </w:p>
    <w:p w:rsidR="007E6385" w:rsidRDefault="0082059B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it-IT"/>
        </w:rPr>
        <w:t xml:space="preserve">Заборонити стоянку вантажних автомобілів із дозволеною максимальною масою понад 3,5 </w:t>
      </w:r>
      <w:proofErr w:type="spellStart"/>
      <w:r>
        <w:rPr>
          <w:sz w:val="28"/>
          <w:szCs w:val="28"/>
          <w:lang w:eastAsia="it-IT"/>
        </w:rPr>
        <w:t>тонни</w:t>
      </w:r>
      <w:proofErr w:type="spellEnd"/>
      <w:r>
        <w:rPr>
          <w:sz w:val="28"/>
          <w:szCs w:val="28"/>
          <w:lang w:eastAsia="it-IT"/>
        </w:rPr>
        <w:t xml:space="preserve"> на привокзальній території прилеглій до залізничної станції </w:t>
      </w:r>
      <w:proofErr w:type="spellStart"/>
      <w:r>
        <w:rPr>
          <w:sz w:val="28"/>
          <w:szCs w:val="28"/>
          <w:lang w:eastAsia="it-IT"/>
        </w:rPr>
        <w:t>Мена</w:t>
      </w:r>
      <w:proofErr w:type="spellEnd"/>
      <w:r>
        <w:rPr>
          <w:sz w:val="28"/>
          <w:szCs w:val="28"/>
          <w:lang w:eastAsia="it-IT"/>
        </w:rPr>
        <w:t xml:space="preserve">, за </w:t>
      </w:r>
      <w:proofErr w:type="spellStart"/>
      <w:r>
        <w:rPr>
          <w:sz w:val="28"/>
          <w:szCs w:val="28"/>
          <w:lang w:eastAsia="it-IT"/>
        </w:rPr>
        <w:t>адресою</w:t>
      </w:r>
      <w:proofErr w:type="spellEnd"/>
      <w:r w:rsidR="002D7915">
        <w:rPr>
          <w:sz w:val="28"/>
          <w:szCs w:val="28"/>
          <w:lang w:eastAsia="it-IT"/>
        </w:rPr>
        <w:t xml:space="preserve">: м. </w:t>
      </w:r>
      <w:proofErr w:type="spellStart"/>
      <w:r w:rsidR="002D7915">
        <w:rPr>
          <w:sz w:val="28"/>
          <w:szCs w:val="28"/>
          <w:lang w:eastAsia="it-IT"/>
        </w:rPr>
        <w:t>Мена</w:t>
      </w:r>
      <w:proofErr w:type="spellEnd"/>
      <w:r w:rsidR="002D7915">
        <w:rPr>
          <w:sz w:val="28"/>
          <w:szCs w:val="28"/>
          <w:lang w:eastAsia="it-IT"/>
        </w:rPr>
        <w:t>,</w:t>
      </w:r>
      <w:r>
        <w:rPr>
          <w:sz w:val="28"/>
          <w:szCs w:val="28"/>
          <w:lang w:eastAsia="it-IT"/>
        </w:rPr>
        <w:t xml:space="preserve"> вул. Вокзальна, 72, призначеної для тимчасового перебування автомобілів.</w:t>
      </w:r>
    </w:p>
    <w:p w:rsidR="007E6385" w:rsidRDefault="0082059B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it-IT"/>
        </w:rPr>
        <w:t>Обмеження руху, зазначені у п.1 цього рішення, не розповсюджуються на транспортні засоби, які здійснюються перевезення вантажів, що використовуються під час ліквідації стихійних явищ або надзвичайних ситуацій техногенного та природного характеру.</w:t>
      </w:r>
    </w:p>
    <w:p w:rsidR="007E6385" w:rsidRDefault="0082059B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it-IT"/>
        </w:rPr>
        <w:t xml:space="preserve">Погодити з Управлінням патрульної поліції в Чернігівській області місця встановлення дорожніх знаків згідно з ДСТУ 4100-2002 «Знаки дорожні. Загальні технічні умови. Правила застосування», які обмежують стоянку вантажного, великогабаритного та великовагового транспорту на привокзальній території прилеглій до залізничної станції </w:t>
      </w:r>
      <w:proofErr w:type="spellStart"/>
      <w:r>
        <w:rPr>
          <w:sz w:val="28"/>
          <w:szCs w:val="28"/>
          <w:lang w:eastAsia="it-IT"/>
        </w:rPr>
        <w:t>Мена</w:t>
      </w:r>
      <w:proofErr w:type="spellEnd"/>
      <w:r>
        <w:rPr>
          <w:sz w:val="28"/>
          <w:szCs w:val="28"/>
          <w:lang w:eastAsia="it-IT"/>
        </w:rPr>
        <w:t xml:space="preserve">, за </w:t>
      </w:r>
      <w:proofErr w:type="spellStart"/>
      <w:r>
        <w:rPr>
          <w:sz w:val="28"/>
          <w:szCs w:val="28"/>
          <w:lang w:eastAsia="it-IT"/>
        </w:rPr>
        <w:t>адресою</w:t>
      </w:r>
      <w:proofErr w:type="spellEnd"/>
      <w:r w:rsidR="002D7915">
        <w:rPr>
          <w:sz w:val="28"/>
          <w:szCs w:val="28"/>
          <w:lang w:eastAsia="it-IT"/>
        </w:rPr>
        <w:t xml:space="preserve">: м. </w:t>
      </w:r>
      <w:proofErr w:type="spellStart"/>
      <w:r w:rsidR="002D7915">
        <w:rPr>
          <w:sz w:val="28"/>
          <w:szCs w:val="28"/>
          <w:lang w:eastAsia="it-IT"/>
        </w:rPr>
        <w:t>Мена</w:t>
      </w:r>
      <w:proofErr w:type="spellEnd"/>
      <w:r w:rsidR="002D7915">
        <w:rPr>
          <w:sz w:val="28"/>
          <w:szCs w:val="28"/>
          <w:lang w:eastAsia="it-IT"/>
        </w:rPr>
        <w:t xml:space="preserve">, </w:t>
      </w:r>
      <w:bookmarkStart w:id="0" w:name="_GoBack"/>
      <w:bookmarkEnd w:id="0"/>
      <w:r>
        <w:rPr>
          <w:sz w:val="28"/>
          <w:szCs w:val="28"/>
          <w:lang w:eastAsia="it-IT"/>
        </w:rPr>
        <w:t xml:space="preserve"> вул. Вокзальна, 72, призначеної для тимчасового перебування автомобілів.</w:t>
      </w:r>
    </w:p>
    <w:p w:rsidR="007E6385" w:rsidRDefault="0082059B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it-IT"/>
        </w:rPr>
        <w:t>Доручити КП «</w:t>
      </w:r>
      <w:proofErr w:type="spellStart"/>
      <w:r>
        <w:rPr>
          <w:sz w:val="28"/>
          <w:szCs w:val="28"/>
          <w:lang w:eastAsia="it-IT"/>
        </w:rPr>
        <w:t>Менакомунпослуга</w:t>
      </w:r>
      <w:proofErr w:type="spellEnd"/>
      <w:r>
        <w:rPr>
          <w:sz w:val="28"/>
          <w:szCs w:val="28"/>
          <w:lang w:eastAsia="it-IT"/>
        </w:rPr>
        <w:t>» встановити відповідні дорожні знаки після погодження з Управлінням патрульної поліції в Чернігівській області.</w:t>
      </w:r>
    </w:p>
    <w:p w:rsidR="007E6385" w:rsidRDefault="0082059B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cs="Mangal"/>
          <w:sz w:val="28"/>
          <w:szCs w:val="28"/>
          <w:lang w:eastAsia="hi-IN" w:bidi="hi-IN"/>
        </w:rPr>
        <w:t>Контроль за виконанням даного рішення покласти на</w:t>
      </w:r>
      <w:r>
        <w:rPr>
          <w:rFonts w:eastAsia="Calibri"/>
          <w:color w:val="000000"/>
          <w:sz w:val="28"/>
          <w:szCs w:val="28"/>
          <w:lang w:eastAsia="ru-RU"/>
        </w:rPr>
        <w:t xml:space="preserve"> першого заступника міського голови </w:t>
      </w:r>
      <w:proofErr w:type="spellStart"/>
      <w:r>
        <w:rPr>
          <w:rFonts w:eastAsia="Calibri"/>
          <w:color w:val="000000"/>
          <w:sz w:val="28"/>
          <w:szCs w:val="28"/>
          <w:lang w:eastAsia="ru-RU"/>
        </w:rPr>
        <w:t>Неберу</w:t>
      </w:r>
      <w:proofErr w:type="spellEnd"/>
      <w:r>
        <w:rPr>
          <w:rFonts w:eastAsia="Calibri"/>
          <w:color w:val="000000"/>
          <w:sz w:val="28"/>
          <w:szCs w:val="28"/>
          <w:lang w:eastAsia="ru-RU"/>
        </w:rPr>
        <w:t xml:space="preserve"> О.Л.</w:t>
      </w:r>
    </w:p>
    <w:p w:rsidR="007E6385" w:rsidRDefault="0082059B">
      <w:pPr>
        <w:widowControl w:val="0"/>
        <w:spacing w:line="240" w:lineRule="auto"/>
        <w:rPr>
          <w:rFonts w:cs="Mangal"/>
          <w:b/>
          <w:sz w:val="28"/>
          <w:szCs w:val="28"/>
          <w:lang w:eastAsia="hi-IN" w:bidi="hi-IN"/>
        </w:rPr>
      </w:pPr>
      <w:r>
        <w:rPr>
          <w:rFonts w:cs="Mangal"/>
          <w:b/>
          <w:sz w:val="28"/>
          <w:szCs w:val="28"/>
          <w:lang w:eastAsia="hi-IN" w:bidi="hi-IN"/>
        </w:rPr>
        <w:t xml:space="preserve">     </w:t>
      </w:r>
    </w:p>
    <w:p w:rsidR="007E6385" w:rsidRDefault="0082059B">
      <w:pPr>
        <w:widowControl w:val="0"/>
        <w:spacing w:line="240" w:lineRule="auto"/>
        <w:rPr>
          <w:rFonts w:cs="Mangal"/>
          <w:b/>
          <w:sz w:val="28"/>
          <w:szCs w:val="28"/>
          <w:lang w:eastAsia="hi-IN" w:bidi="hi-IN"/>
        </w:rPr>
      </w:pPr>
      <w:r>
        <w:rPr>
          <w:rFonts w:cs="Mangal"/>
          <w:b/>
          <w:sz w:val="28"/>
          <w:szCs w:val="28"/>
          <w:lang w:eastAsia="hi-IN" w:bidi="hi-IN"/>
        </w:rPr>
        <w:t xml:space="preserve">      </w:t>
      </w:r>
    </w:p>
    <w:p w:rsidR="007E6385" w:rsidRDefault="0082059B">
      <w:pPr>
        <w:widowControl w:val="0"/>
        <w:tabs>
          <w:tab w:val="left" w:pos="6804"/>
        </w:tabs>
        <w:spacing w:line="240" w:lineRule="auto"/>
      </w:pPr>
      <w:r>
        <w:rPr>
          <w:rFonts w:cs="Mangal"/>
          <w:sz w:val="28"/>
          <w:szCs w:val="28"/>
          <w:lang w:eastAsia="hi-IN" w:bidi="hi-IN"/>
        </w:rPr>
        <w:t>Міський голова</w:t>
      </w:r>
      <w:r>
        <w:rPr>
          <w:rFonts w:cs="Mangal"/>
          <w:sz w:val="28"/>
          <w:szCs w:val="28"/>
          <w:lang w:eastAsia="hi-IN" w:bidi="hi-IN"/>
        </w:rPr>
        <w:tab/>
        <w:t>Геннадій ПРИМАКОВ</w:t>
      </w:r>
    </w:p>
    <w:sectPr w:rsidR="007E6385" w:rsidSect="00B41DAB">
      <w:headerReference w:type="default" r:id="rId8"/>
      <w:pgSz w:w="11906" w:h="16838"/>
      <w:pgMar w:top="1134" w:right="567" w:bottom="1134" w:left="1701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69E" w:rsidRDefault="00C8669E">
      <w:pPr>
        <w:spacing w:line="240" w:lineRule="auto"/>
      </w:pPr>
      <w:r>
        <w:separator/>
      </w:r>
    </w:p>
  </w:endnote>
  <w:endnote w:type="continuationSeparator" w:id="0">
    <w:p w:rsidR="00C8669E" w:rsidRDefault="00C86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69E" w:rsidRDefault="00C8669E">
      <w:pPr>
        <w:spacing w:line="240" w:lineRule="auto"/>
      </w:pPr>
      <w:r>
        <w:separator/>
      </w:r>
    </w:p>
  </w:footnote>
  <w:footnote w:type="continuationSeparator" w:id="0">
    <w:p w:rsidR="00C8669E" w:rsidRDefault="00C866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85" w:rsidRDefault="0082059B">
    <w:pPr>
      <w:pStyle w:val="ad"/>
      <w:jc w:val="center"/>
    </w:pPr>
    <w:r>
      <w:rPr>
        <w:noProof/>
        <w:color w:val="000000"/>
        <w:lang w:val="ru-RU" w:eastAsia="ru-RU"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48B2"/>
    <w:multiLevelType w:val="hybridMultilevel"/>
    <w:tmpl w:val="43580F80"/>
    <w:lvl w:ilvl="0" w:tplc="117AE1D4">
      <w:start w:val="1"/>
      <w:numFmt w:val="decimal"/>
      <w:lvlText w:val="%1."/>
      <w:lvlJc w:val="left"/>
      <w:pPr>
        <w:ind w:left="927" w:hanging="360"/>
      </w:pPr>
      <w:rPr>
        <w:rFonts w:eastAsia="Times New Roman" w:cs="Mangal"/>
        <w:color w:val="000000"/>
      </w:rPr>
    </w:lvl>
    <w:lvl w:ilvl="1" w:tplc="3BBACD3A">
      <w:start w:val="1"/>
      <w:numFmt w:val="lowerLetter"/>
      <w:lvlText w:val="%2."/>
      <w:lvlJc w:val="left"/>
      <w:pPr>
        <w:ind w:left="1647" w:hanging="360"/>
      </w:pPr>
    </w:lvl>
    <w:lvl w:ilvl="2" w:tplc="B59EFA94">
      <w:start w:val="1"/>
      <w:numFmt w:val="lowerRoman"/>
      <w:lvlText w:val="%3."/>
      <w:lvlJc w:val="right"/>
      <w:pPr>
        <w:ind w:left="2367" w:hanging="180"/>
      </w:pPr>
    </w:lvl>
    <w:lvl w:ilvl="3" w:tplc="C3120638">
      <w:start w:val="1"/>
      <w:numFmt w:val="decimal"/>
      <w:lvlText w:val="%4."/>
      <w:lvlJc w:val="left"/>
      <w:pPr>
        <w:ind w:left="3087" w:hanging="360"/>
      </w:pPr>
    </w:lvl>
    <w:lvl w:ilvl="4" w:tplc="EFAC231A">
      <w:start w:val="1"/>
      <w:numFmt w:val="lowerLetter"/>
      <w:lvlText w:val="%5."/>
      <w:lvlJc w:val="left"/>
      <w:pPr>
        <w:ind w:left="3807" w:hanging="360"/>
      </w:pPr>
    </w:lvl>
    <w:lvl w:ilvl="5" w:tplc="29BEC23E">
      <w:start w:val="1"/>
      <w:numFmt w:val="lowerRoman"/>
      <w:lvlText w:val="%6."/>
      <w:lvlJc w:val="right"/>
      <w:pPr>
        <w:ind w:left="4527" w:hanging="180"/>
      </w:pPr>
    </w:lvl>
    <w:lvl w:ilvl="6" w:tplc="803CE834">
      <w:start w:val="1"/>
      <w:numFmt w:val="decimal"/>
      <w:lvlText w:val="%7."/>
      <w:lvlJc w:val="left"/>
      <w:pPr>
        <w:ind w:left="5247" w:hanging="360"/>
      </w:pPr>
    </w:lvl>
    <w:lvl w:ilvl="7" w:tplc="A6245108">
      <w:start w:val="1"/>
      <w:numFmt w:val="lowerLetter"/>
      <w:lvlText w:val="%8."/>
      <w:lvlJc w:val="left"/>
      <w:pPr>
        <w:ind w:left="5967" w:hanging="360"/>
      </w:pPr>
    </w:lvl>
    <w:lvl w:ilvl="8" w:tplc="0E60E3D6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0E30FC"/>
    <w:multiLevelType w:val="hybridMultilevel"/>
    <w:tmpl w:val="E79AA3C6"/>
    <w:lvl w:ilvl="0" w:tplc="652CDE78">
      <w:start w:val="1"/>
      <w:numFmt w:val="decimal"/>
      <w:lvlText w:val="%1."/>
      <w:lvlJc w:val="left"/>
      <w:pPr>
        <w:ind w:left="927" w:hanging="360"/>
      </w:pPr>
      <w:rPr>
        <w:rFonts w:eastAsia="Times New Roman" w:cs="Mangal"/>
        <w:color w:val="000000"/>
      </w:rPr>
    </w:lvl>
    <w:lvl w:ilvl="1" w:tplc="1E064D60">
      <w:start w:val="1"/>
      <w:numFmt w:val="lowerLetter"/>
      <w:lvlText w:val="%2."/>
      <w:lvlJc w:val="left"/>
      <w:pPr>
        <w:ind w:left="1647" w:hanging="360"/>
      </w:pPr>
    </w:lvl>
    <w:lvl w:ilvl="2" w:tplc="F2F083D0">
      <w:start w:val="1"/>
      <w:numFmt w:val="lowerRoman"/>
      <w:lvlText w:val="%3."/>
      <w:lvlJc w:val="right"/>
      <w:pPr>
        <w:ind w:left="2367" w:hanging="180"/>
      </w:pPr>
    </w:lvl>
    <w:lvl w:ilvl="3" w:tplc="2FCC0716">
      <w:start w:val="1"/>
      <w:numFmt w:val="decimal"/>
      <w:lvlText w:val="%4."/>
      <w:lvlJc w:val="left"/>
      <w:pPr>
        <w:ind w:left="3087" w:hanging="360"/>
      </w:pPr>
    </w:lvl>
    <w:lvl w:ilvl="4" w:tplc="48B01AAC">
      <w:start w:val="1"/>
      <w:numFmt w:val="lowerLetter"/>
      <w:lvlText w:val="%5."/>
      <w:lvlJc w:val="left"/>
      <w:pPr>
        <w:ind w:left="3807" w:hanging="360"/>
      </w:pPr>
    </w:lvl>
    <w:lvl w:ilvl="5" w:tplc="B29C8088">
      <w:start w:val="1"/>
      <w:numFmt w:val="lowerRoman"/>
      <w:lvlText w:val="%6."/>
      <w:lvlJc w:val="right"/>
      <w:pPr>
        <w:ind w:left="4527" w:hanging="180"/>
      </w:pPr>
    </w:lvl>
    <w:lvl w:ilvl="6" w:tplc="5F6AD6DE">
      <w:start w:val="1"/>
      <w:numFmt w:val="decimal"/>
      <w:lvlText w:val="%7."/>
      <w:lvlJc w:val="left"/>
      <w:pPr>
        <w:ind w:left="5247" w:hanging="360"/>
      </w:pPr>
    </w:lvl>
    <w:lvl w:ilvl="7" w:tplc="8314FD8E">
      <w:start w:val="1"/>
      <w:numFmt w:val="lowerLetter"/>
      <w:lvlText w:val="%8."/>
      <w:lvlJc w:val="left"/>
      <w:pPr>
        <w:ind w:left="5967" w:hanging="360"/>
      </w:pPr>
    </w:lvl>
    <w:lvl w:ilvl="8" w:tplc="F774C586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1E2594"/>
    <w:multiLevelType w:val="hybridMultilevel"/>
    <w:tmpl w:val="BC58F09C"/>
    <w:lvl w:ilvl="0" w:tplc="1C820122">
      <w:start w:val="1"/>
      <w:numFmt w:val="decimal"/>
      <w:lvlText w:val="%1."/>
      <w:lvlJc w:val="left"/>
      <w:pPr>
        <w:ind w:left="927" w:hanging="360"/>
      </w:pPr>
      <w:rPr>
        <w:rFonts w:eastAsia="Times New Roman" w:cs="Mangal"/>
        <w:color w:val="000000"/>
      </w:rPr>
    </w:lvl>
    <w:lvl w:ilvl="1" w:tplc="BD7CBE9C">
      <w:start w:val="1"/>
      <w:numFmt w:val="lowerLetter"/>
      <w:lvlText w:val="%2."/>
      <w:lvlJc w:val="left"/>
      <w:pPr>
        <w:ind w:left="1647" w:hanging="360"/>
      </w:pPr>
    </w:lvl>
    <w:lvl w:ilvl="2" w:tplc="E6D884C2">
      <w:start w:val="1"/>
      <w:numFmt w:val="lowerRoman"/>
      <w:lvlText w:val="%3."/>
      <w:lvlJc w:val="right"/>
      <w:pPr>
        <w:ind w:left="2367" w:hanging="180"/>
      </w:pPr>
    </w:lvl>
    <w:lvl w:ilvl="3" w:tplc="AF10A9E8">
      <w:start w:val="1"/>
      <w:numFmt w:val="decimal"/>
      <w:lvlText w:val="%4."/>
      <w:lvlJc w:val="left"/>
      <w:pPr>
        <w:ind w:left="3087" w:hanging="360"/>
      </w:pPr>
    </w:lvl>
    <w:lvl w:ilvl="4" w:tplc="B4965F88">
      <w:start w:val="1"/>
      <w:numFmt w:val="lowerLetter"/>
      <w:lvlText w:val="%5."/>
      <w:lvlJc w:val="left"/>
      <w:pPr>
        <w:ind w:left="3807" w:hanging="360"/>
      </w:pPr>
    </w:lvl>
    <w:lvl w:ilvl="5" w:tplc="65165E4A">
      <w:start w:val="1"/>
      <w:numFmt w:val="lowerRoman"/>
      <w:lvlText w:val="%6."/>
      <w:lvlJc w:val="right"/>
      <w:pPr>
        <w:ind w:left="4527" w:hanging="180"/>
      </w:pPr>
    </w:lvl>
    <w:lvl w:ilvl="6" w:tplc="AF921176">
      <w:start w:val="1"/>
      <w:numFmt w:val="decimal"/>
      <w:lvlText w:val="%7."/>
      <w:lvlJc w:val="left"/>
      <w:pPr>
        <w:ind w:left="5247" w:hanging="360"/>
      </w:pPr>
    </w:lvl>
    <w:lvl w:ilvl="7" w:tplc="341A20AE">
      <w:start w:val="1"/>
      <w:numFmt w:val="lowerLetter"/>
      <w:lvlText w:val="%8."/>
      <w:lvlJc w:val="left"/>
      <w:pPr>
        <w:ind w:left="5967" w:hanging="360"/>
      </w:pPr>
    </w:lvl>
    <w:lvl w:ilvl="8" w:tplc="359037A2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85"/>
    <w:rsid w:val="002D7915"/>
    <w:rsid w:val="007E6385"/>
    <w:rsid w:val="0082059B"/>
    <w:rsid w:val="009C1B2F"/>
    <w:rsid w:val="00B41DAB"/>
    <w:rsid w:val="00C8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5FE3"/>
  <w15:docId w15:val="{CC6CA2A5-C939-4515-BDC4-36DE42B1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100" w:lineRule="atLeast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/>
      </w:tcPr>
    </w:tblStylePr>
    <w:tblStylePr w:type="band1Horz">
      <w:tblPr/>
      <w:tcPr>
        <w:shd w:val="clear" w:color="F2F2F2" w:themeColor="text1" w:themeTint="0D" w:fill="F2F2F2"/>
      </w:tcPr>
    </w:tblStylePr>
  </w:style>
  <w:style w:type="table" w:customStyle="1" w:styleId="21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/>
      </w:tcPr>
    </w:tblStylePr>
  </w:style>
  <w:style w:type="table" w:customStyle="1" w:styleId="41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/>
      </w:tcPr>
    </w:tblStylePr>
  </w:style>
  <w:style w:type="table" w:customStyle="1" w:styleId="51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/>
      </w:tcPr>
    </w:tblStylePr>
    <w:tblStylePr w:type="band1Vert">
      <w:tblPr/>
      <w:tcPr>
        <w:shd w:val="clear" w:color="8A8A8A" w:themeColor="text1" w:themeTint="75" w:fill="8A8A8A"/>
      </w:tcPr>
    </w:tblStylePr>
    <w:tblStylePr w:type="band1Horz">
      <w:tblPr/>
      <w:tcPr>
        <w:shd w:val="clear" w:color="8A8A8A" w:themeColor="text1" w:themeTint="75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/>
      </w:tcPr>
    </w:tblStylePr>
    <w:tblStylePr w:type="band1Vert">
      <w:tblPr/>
      <w:tcPr>
        <w:shd w:val="clear" w:color="AEC4E0" w:themeColor="accent1" w:themeTint="75" w:fill="AEC4E0"/>
      </w:tcPr>
    </w:tblStylePr>
    <w:tblStylePr w:type="band1Horz">
      <w:tblPr/>
      <w:tcPr>
        <w:shd w:val="clear" w:color="AEC4E0" w:themeColor="accent1" w:themeTint="75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/>
      </w:tcPr>
    </w:tblStylePr>
    <w:tblStylePr w:type="band1Vert">
      <w:tblPr/>
      <w:tcPr>
        <w:shd w:val="clear" w:color="E2AEAD" w:themeColor="accent2" w:themeTint="75" w:fill="E2AEAD"/>
      </w:tcPr>
    </w:tblStylePr>
    <w:tblStylePr w:type="band1Horz">
      <w:tblPr/>
      <w:tcPr>
        <w:shd w:val="clear" w:color="E2AEAD" w:themeColor="accent2" w:themeTint="75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/>
      </w:tcPr>
    </w:tblStylePr>
    <w:tblStylePr w:type="band1Vert">
      <w:tblPr/>
      <w:tcPr>
        <w:shd w:val="clear" w:color="D0DFB2" w:themeColor="accent3" w:themeTint="75" w:fill="D0DFB2"/>
      </w:tcPr>
    </w:tblStylePr>
    <w:tblStylePr w:type="band1Horz">
      <w:tblPr/>
      <w:tcPr>
        <w:shd w:val="clear" w:color="D0DFB2" w:themeColor="accent3" w:themeTint="75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/>
      </w:tcPr>
    </w:tblStylePr>
    <w:tblStylePr w:type="band1Vert">
      <w:tblPr/>
      <w:tcPr>
        <w:shd w:val="clear" w:color="C4B7D4" w:themeColor="accent4" w:themeTint="75" w:fill="C4B7D4"/>
      </w:tcPr>
    </w:tblStylePr>
    <w:tblStylePr w:type="band1Horz">
      <w:tblPr/>
      <w:tcPr>
        <w:shd w:val="clear" w:color="C4B7D4" w:themeColor="accent4" w:themeTint="75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/>
      </w:tcPr>
    </w:tblStylePr>
    <w:tblStylePr w:type="band1Vert">
      <w:tblPr/>
      <w:tcPr>
        <w:shd w:val="clear" w:color="ACD8E4" w:themeColor="accent5" w:themeTint="75" w:fill="ACD8E4"/>
      </w:tcPr>
    </w:tblStylePr>
    <w:tblStylePr w:type="band1Horz">
      <w:tblPr/>
      <w:tcPr>
        <w:shd w:val="clear" w:color="ACD8E4" w:themeColor="accent5" w:themeTint="75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/>
      </w:tcPr>
    </w:tblStylePr>
    <w:tblStylePr w:type="band1Vert">
      <w:tblPr/>
      <w:tcPr>
        <w:shd w:val="clear" w:color="FBCEAA" w:themeColor="accent6" w:themeTint="75" w:fill="FBCEAA"/>
      </w:tcPr>
    </w:tblStylePr>
    <w:tblStylePr w:type="band1Horz">
      <w:tblPr/>
      <w:tcPr>
        <w:shd w:val="clear" w:color="FBCEAA" w:themeColor="accent6" w:themeTint="75" w:fill="FBCEAA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/>
      </w:tcPr>
    </w:tblStylePr>
    <w:tblStylePr w:type="band1Horz">
      <w:tblPr/>
      <w:tcPr>
        <w:shd w:val="clear" w:color="BFBFBF" w:themeColor="text1" w:themeTint="40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/>
      </w:tcPr>
    </w:tblStylePr>
    <w:tblStylePr w:type="band1Horz">
      <w:tblPr/>
      <w:tcPr>
        <w:shd w:val="clear" w:color="D2DFEE" w:themeColor="accent1" w:themeTint="40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/>
      </w:tcPr>
    </w:tblStylePr>
    <w:tblStylePr w:type="band1Horz">
      <w:tblPr/>
      <w:tcPr>
        <w:shd w:val="clear" w:color="EFD2D2" w:themeColor="accent2" w:themeTint="40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/>
      </w:tcPr>
    </w:tblStylePr>
    <w:tblStylePr w:type="band1Horz">
      <w:tblPr/>
      <w:tcPr>
        <w:shd w:val="clear" w:color="E5EED5" w:themeColor="accent3" w:themeTint="40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/>
      </w:tcPr>
    </w:tblStylePr>
    <w:tblStylePr w:type="band1Horz">
      <w:tblPr/>
      <w:tcPr>
        <w:shd w:val="clear" w:color="DFD8E7" w:themeColor="accent4" w:themeTint="40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/>
      </w:tcPr>
    </w:tblStylePr>
    <w:tblStylePr w:type="band1Horz">
      <w:tblPr/>
      <w:tcPr>
        <w:shd w:val="clear" w:color="D1EAF0" w:themeColor="accent5" w:themeTint="40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/>
      </w:tcPr>
    </w:tblStylePr>
    <w:tblStylePr w:type="band1Horz">
      <w:tblPr/>
      <w:tcPr>
        <w:shd w:val="clear" w:color="FDE4D0" w:themeColor="accent6" w:themeTint="40" w:fill="FDE4D0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/>
      </w:tcPr>
    </w:tblStylePr>
  </w:style>
  <w:style w:type="table" w:customStyle="1" w:styleId="Lined-Accent1">
    <w:name w:val="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/>
      </w:tcPr>
    </w:tblStylePr>
  </w:style>
  <w:style w:type="table" w:customStyle="1" w:styleId="Lined-Accent2">
    <w:name w:val="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/>
      </w:tcPr>
    </w:tblStylePr>
  </w:style>
  <w:style w:type="table" w:customStyle="1" w:styleId="Lined-Accent3">
    <w:name w:val="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/>
      </w:tcPr>
    </w:tblStylePr>
  </w:style>
  <w:style w:type="table" w:customStyle="1" w:styleId="Lined-Accent4">
    <w:name w:val="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/>
      </w:tcPr>
    </w:tblStylePr>
  </w:style>
  <w:style w:type="table" w:customStyle="1" w:styleId="Lined-Accent5">
    <w:name w:val="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/>
      </w:tcPr>
    </w:tblStylePr>
  </w:style>
  <w:style w:type="table" w:customStyle="1" w:styleId="Lined-Accent6">
    <w:name w:val="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line="240" w:lineRule="auto"/>
    </w:p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character" w:customStyle="1" w:styleId="afc">
    <w:name w:val="Текст выноски Знак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Заголовок"/>
    <w:basedOn w:val="a"/>
    <w:next w:val="a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e">
    <w:name w:val="Body Text"/>
    <w:basedOn w:val="a"/>
    <w:pPr>
      <w:spacing w:after="140" w:line="288" w:lineRule="auto"/>
    </w:pPr>
  </w:style>
  <w:style w:type="paragraph" w:styleId="aff">
    <w:name w:val="List"/>
    <w:basedOn w:val="afe"/>
    <w:rPr>
      <w:rFonts w:cs="Arial"/>
    </w:rPr>
  </w:style>
  <w:style w:type="paragraph" w:customStyle="1" w:styleId="aff0">
    <w:name w:val="Покажчик"/>
    <w:basedOn w:val="a"/>
    <w:pPr>
      <w:suppressLineNumbers/>
    </w:pPr>
    <w:rPr>
      <w:rFonts w:cs="Arial"/>
    </w:rPr>
  </w:style>
  <w:style w:type="paragraph" w:styleId="aff1">
    <w:name w:val="Balloon Text"/>
    <w:basedOn w:val="a"/>
    <w:link w:val="aff2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ff3">
    <w:name w:val="Знак"/>
    <w:basedOn w:val="a"/>
    <w:uiPriority w:val="99"/>
    <w:pPr>
      <w:spacing w:line="240" w:lineRule="auto"/>
    </w:pPr>
    <w:rPr>
      <w:rFonts w:ascii="Verdana" w:hAnsi="Verdana" w:cs="Verdana"/>
      <w:lang w:val="en-US" w:eastAsia="en-US"/>
    </w:rPr>
  </w:style>
  <w:style w:type="character" w:customStyle="1" w:styleId="aff2">
    <w:name w:val="Текст у виносці Знак"/>
    <w:link w:val="aff1"/>
    <w:uiPriority w:val="99"/>
    <w:semiHidden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4</cp:revision>
  <dcterms:created xsi:type="dcterms:W3CDTF">2023-04-25T14:17:00Z</dcterms:created>
  <dcterms:modified xsi:type="dcterms:W3CDTF">2023-04-28T17:01:00Z</dcterms:modified>
  <cp:version>917504</cp:version>
</cp:coreProperties>
</file>