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Пояснювальна записка</w:t>
      </w:r>
      <w:r/>
    </w:p>
    <w:p>
      <w:pPr>
        <w:pStyle w:val="8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рішення </w:t>
      </w:r>
      <w:r>
        <w:rPr>
          <w:b/>
          <w:bCs/>
          <w:sz w:val="28"/>
          <w:szCs w:val="28"/>
        </w:rPr>
        <w:t xml:space="preserve">тридцят</w:t>
      </w:r>
      <w:r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 xml:space="preserve">треть</w:t>
      </w:r>
      <w:r>
        <w:rPr>
          <w:b/>
          <w:bCs/>
          <w:sz w:val="28"/>
          <w:szCs w:val="28"/>
        </w:rPr>
        <w:t xml:space="preserve">ої</w:t>
      </w:r>
      <w:r>
        <w:rPr>
          <w:b/>
          <w:bCs/>
          <w:sz w:val="28"/>
          <w:szCs w:val="28"/>
        </w:rPr>
        <w:t xml:space="preserve"> сесії </w:t>
      </w:r>
      <w:r>
        <w:rPr>
          <w:b/>
          <w:bCs/>
          <w:sz w:val="28"/>
          <w:szCs w:val="28"/>
        </w:rPr>
        <w:t xml:space="preserve">друге засідання </w:t>
      </w:r>
      <w:r>
        <w:rPr>
          <w:b/>
          <w:bCs/>
          <w:sz w:val="28"/>
          <w:szCs w:val="28"/>
        </w:rPr>
        <w:t xml:space="preserve">Менської міської ради восьмого скликання № </w:t>
      </w:r>
      <w:r>
        <w:rPr>
          <w:b/>
          <w:bCs/>
          <w:sz w:val="28"/>
          <w:szCs w:val="28"/>
        </w:rPr>
        <w:t xml:space="preserve">21</w:t>
      </w:r>
      <w:r>
        <w:rPr>
          <w:b/>
          <w:bCs/>
          <w:sz w:val="28"/>
          <w:szCs w:val="28"/>
        </w:rPr>
        <w:t xml:space="preserve">9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8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квіт</w:t>
      </w:r>
      <w:r>
        <w:rPr>
          <w:b/>
          <w:bCs/>
          <w:sz w:val="28"/>
          <w:szCs w:val="28"/>
        </w:rPr>
        <w:t xml:space="preserve">ня</w:t>
      </w:r>
      <w:r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року «Про внесення змін до рішення </w:t>
      </w:r>
      <w:r>
        <w:rPr>
          <w:b/>
          <w:bCs/>
          <w:sz w:val="28"/>
          <w:szCs w:val="28"/>
        </w:rPr>
        <w:t xml:space="preserve">27-ої</w:t>
      </w:r>
      <w:r>
        <w:rPr>
          <w:b/>
          <w:bCs/>
          <w:sz w:val="28"/>
          <w:szCs w:val="28"/>
        </w:rPr>
        <w:t xml:space="preserve"> сесії Менської міської ради 8 скликання від 2</w:t>
      </w:r>
      <w:r>
        <w:rPr>
          <w:b/>
          <w:bCs/>
          <w:sz w:val="28"/>
          <w:szCs w:val="28"/>
        </w:rPr>
        <w:t xml:space="preserve">1</w:t>
      </w:r>
      <w:r>
        <w:rPr>
          <w:b/>
          <w:bCs/>
          <w:sz w:val="28"/>
          <w:szCs w:val="28"/>
        </w:rPr>
        <w:t xml:space="preserve"> грудня 202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 року № </w:t>
      </w:r>
      <w:r>
        <w:rPr>
          <w:b/>
          <w:bCs/>
          <w:sz w:val="28"/>
          <w:szCs w:val="28"/>
        </w:rPr>
        <w:t xml:space="preserve">500</w:t>
      </w:r>
      <w:r>
        <w:rPr>
          <w:b/>
          <w:bCs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рік»»</w:t>
      </w:r>
      <w:r/>
    </w:p>
    <w:p>
      <w:pPr>
        <w:pStyle w:val="84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>
        <w:rPr>
          <w:rFonts w:ascii="Times New Roman" w:hAnsi="Times New Roman" w:cs="Times New Roman"/>
          <w:sz w:val="28"/>
          <w:szCs w:val="28"/>
        </w:rPr>
        <w:t xml:space="preserve">500</w:t>
      </w:r>
      <w:r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рік» від 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.12.202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</w:t>
      </w:r>
      <w:r>
        <w:rPr>
          <w:rFonts w:ascii="Times New Roman" w:hAnsi="Times New Roman" w:cs="Times New Roman"/>
          <w:sz w:val="28"/>
          <w:szCs w:val="28"/>
        </w:rPr>
        <w:t xml:space="preserve">, соціально-економічного розвитку, житлово-комунального господарства та комунального майна Менської міської ради:</w:t>
      </w:r>
      <w:r/>
    </w:p>
    <w:p>
      <w:pPr>
        <w:pStyle w:val="849"/>
        <w:numPr>
          <w:ilvl w:val="0"/>
          <w:numId w:val="4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Уточнити </w:t>
      </w:r>
      <w:r>
        <w:rPr>
          <w:rFonts w:ascii="Times New Roman" w:hAnsi="Times New Roman" w:cs="Times New Roman"/>
          <w:sz w:val="28"/>
          <w:szCs w:val="28"/>
        </w:rPr>
        <w:t xml:space="preserve">перевиконання</w:t>
      </w:r>
      <w:r>
        <w:rPr>
          <w:rFonts w:ascii="Times New Roman" w:hAnsi="Times New Roman" w:cs="Times New Roman"/>
          <w:sz w:val="28"/>
          <w:szCs w:val="28"/>
        </w:rPr>
        <w:t xml:space="preserve"> коштів загального фонду бюджету Менської міської ради,</w:t>
      </w:r>
      <w:r>
        <w:rPr>
          <w:rFonts w:ascii="Times New Roman" w:hAnsi="Times New Roman" w:cs="Times New Roman"/>
          <w:sz w:val="28"/>
          <w:szCs w:val="28"/>
        </w:rPr>
        <w:t xml:space="preserve"> станом на 01.0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.2023 року </w:t>
      </w:r>
      <w:r>
        <w:rPr>
          <w:rFonts w:ascii="Times New Roman" w:hAnsi="Times New Roman" w:cs="Times New Roman"/>
          <w:sz w:val="28"/>
          <w:szCs w:val="28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</w:rPr>
        <w:t xml:space="preserve">6187500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згідно висновку Фінансового управління №1 від 01.04.2023 року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збільшивши видаткову частину бюджету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ind w:firstLine="567"/>
        <w:jc w:val="both"/>
        <w:spacing w:lineRule="auto" w:line="240" w:after="113" w:afterAutospacing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збільшити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річну суму кошторисних призначень загального фонду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аданн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пільг окремим категоріям громадян з оплати послуг зв'язку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частині видатків на інші виплати населенню в сумі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000,00 грн. (Програма відшкодування пільг з послуг зв'язку та компенсаційних виплат за пільговий проїзд залізничним транспортом жителів Менської міської територіальної громади на 2022-2024 роки)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0113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 КЕКВ 2730+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000,00 грн.)</w:t>
      </w:r>
      <w:r/>
    </w:p>
    <w:p>
      <w:pPr>
        <w:ind w:firstLine="567"/>
        <w:jc w:val="both"/>
        <w:spacing w:lineRule="auto" w:line="240" w:after="113" w:afterAutospacing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збільшити річну суму кошторисних призначень загального фонду 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міської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 забезпеченню соціальними послугами за місцем проживання громадян, які не здатні до самообслуговування у зв'язку з похилим віком,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хворобою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інвалідністю в частині видатків на оплату послуг в сумі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825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00,00 грн. (для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демонтажу та монтажу кондиціонерів та промивки системи опалення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КПКВК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131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КЕКВ 2240+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500,00 грн.)</w:t>
      </w:r>
      <w:r/>
    </w:p>
    <w:p>
      <w:pPr>
        <w:ind w:firstLine="567"/>
        <w:jc w:val="both"/>
        <w:spacing w:lineRule="auto" w:line="240" w:after="113" w:afterAutospacing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збільшити річну суму кошторисних призначень загального фонду Менської місь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ої ради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інших заходах у сфері соціального захисту і соціального забезпечення в частині видатків на інші виплати населенню в сумі 200000,00 грн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 (Програма соціальної підтримки жителів Менської міської територіальної громади на 2022-2024 роки)</w:t>
      </w:r>
      <w:r/>
    </w:p>
    <w:p>
      <w:pPr>
        <w:ind w:firstLine="567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0113242 КЕКВ 2730+200000,00 грн.)</w:t>
      </w:r>
      <w:r/>
    </w:p>
    <w:p>
      <w:pPr>
        <w:ind w:firstLine="567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збільшити річну суму кошторисних призначень загального фонду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 забезпеченню діяльності місцевої та добровільної пожежної охорони в частині видатків на оплату послуг в сумі 22000,00 грн.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тому числі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для оплати профілактичного огляду працівників, проведення інтернету та забезпечення абонентської плати)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011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8130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КЕКВ 2240+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00,00 грн.)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збільшити річну суму кошторисних призначень спеціального фонду Менської міс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ької ради по заходах, пов’язаних з поліпшення питної води в частині фінансування «ПРОГРАМИ «Питна вода Менської міської територіальної громади на 2022-2024 роки», а саме: на реконструкцію та реставрацію інших об’єктів на суму 1720000,00 грн. (Реконструкція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вуличної водопровідної мережі по вул. Олеся Гончара від перехрестя з вул. Титаренка Сергія до перехрестя з вул. Козацька в м. Мена Чернігівської області»-1690000,00 грн., для проведення експертизи проектно-кошторисної документації по Реконструкці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ї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комплексу очисних споруд м.Мена, який розташований за межами міста Мена, Менської міської територіальної громади, Корюківського району Чернігівської області-30000,00 грн.)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(КПКВК 0116040 КЕКВ 3142+1720000,00 грн.);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збільшити річну суму кошторисних призначень спеціального фонду Менської міської ради по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здійсненню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заход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ів із землеустрою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на суму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98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00,00 грн. (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виготовлення документації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згідно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Програм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розвитку земельних відносин Менської міської територіальної громади на 2023-2025 роки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(КПКВК 011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713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 КЕКВ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2281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+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98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00,00 грн.)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збільшити річну суму кошторисних призначень спеціального фонду п</w:t>
      </w:r>
      <w:r>
        <w:rPr>
          <w:rFonts w:ascii="Times New Roman" w:hAnsi="Times New Roman" w:cs="Times New Roman"/>
          <w:sz w:val="28"/>
          <w:szCs w:val="28"/>
        </w:rPr>
        <w:t xml:space="preserve">о розвитку мережі центрів надання адміністративних послуг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реконструкцію та реставрацію </w:t>
      </w:r>
      <w:r>
        <w:rPr>
          <w:rFonts w:ascii="Times New Roman" w:hAnsi="Times New Roman" w:cs="Times New Roman"/>
          <w:sz w:val="28"/>
          <w:szCs w:val="28"/>
        </w:rPr>
        <w:t xml:space="preserve">інших об’єктів в сумі 155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000,00 грн. ( для проведення робіт та проходження експертизи, технічного нагляду нежитлової будівлі з розміщення Центру надання адміністративних послуг по вул. Героїв АТО,9).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0117390 КЕКВ 31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2+1550000,00 грн.)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збільшити річну суму кошторисних призначень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заг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ального фонду п</w:t>
      </w:r>
      <w:r>
        <w:rPr>
          <w:rFonts w:ascii="Times New Roman" w:hAnsi="Times New Roman" w:cs="Times New Roman"/>
          <w:sz w:val="28"/>
          <w:szCs w:val="28"/>
        </w:rPr>
        <w:t xml:space="preserve">о розвитку мережі центрів надання адміністративних послуг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частині видатків на оплату послуг</w:t>
      </w:r>
      <w:r>
        <w:rPr>
          <w:rFonts w:ascii="Times New Roman" w:hAnsi="Times New Roman" w:cs="Times New Roman"/>
          <w:sz w:val="28"/>
          <w:szCs w:val="28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2000,00 грн. ( для проведення робіт </w:t>
      </w:r>
      <w:r>
        <w:rPr>
          <w:rFonts w:ascii="Times New Roman" w:hAnsi="Times New Roman" w:cs="Times New Roman"/>
          <w:sz w:val="28"/>
          <w:szCs w:val="28"/>
        </w:rPr>
        <w:t xml:space="preserve">локальної мережі та облаштування охоронної системи сигналізації з відеоспостереженням для відділу</w:t>
      </w:r>
      <w:r>
        <w:rPr>
          <w:rFonts w:ascii="Times New Roman" w:hAnsi="Times New Roman" w:cs="Times New Roman"/>
          <w:sz w:val="28"/>
          <w:szCs w:val="28"/>
        </w:rPr>
        <w:t xml:space="preserve"> Центру надання адміністративних послуг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0117390 КЕКВ</w:t>
      </w:r>
      <w:r>
        <w:rPr>
          <w:rFonts w:ascii="Times New Roman" w:hAnsi="Times New Roman" w:cs="Times New Roman"/>
          <w:sz w:val="28"/>
          <w:szCs w:val="28"/>
        </w:rPr>
        <w:t xml:space="preserve"> 2240</w:t>
      </w:r>
      <w:r>
        <w:rPr>
          <w:rFonts w:ascii="Times New Roman" w:hAnsi="Times New Roman" w:cs="Times New Roman"/>
          <w:sz w:val="28"/>
          <w:szCs w:val="28"/>
        </w:rPr>
        <w:t xml:space="preserve">+</w:t>
      </w:r>
      <w:r>
        <w:rPr>
          <w:rFonts w:ascii="Times New Roman" w:hAnsi="Times New Roman" w:cs="Times New Roman"/>
          <w:sz w:val="28"/>
          <w:szCs w:val="28"/>
        </w:rPr>
        <w:t xml:space="preserve">152</w:t>
      </w:r>
      <w:r>
        <w:rPr>
          <w:rFonts w:ascii="Times New Roman" w:hAnsi="Times New Roman" w:cs="Times New Roman"/>
          <w:sz w:val="28"/>
          <w:szCs w:val="28"/>
        </w:rPr>
        <w:t xml:space="preserve">000,00 грн.) 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збільшити річну суму кошторисних призначень загального фонду відділу освіти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 наданню загальної середньої освіти закладами загальної середньої освіти, а саме: на заробітну плату та нарахування на оплату праці в сумі 1374000,00 грн. та 200000,00 грн. відповідно.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0611021 КЕКВ 2110+1374000,00 грн., КЕКВ 2120+200000,00 грн.)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збільшити річну суму кошторисних призначень загального фонду відділу освіти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 утриманню та навчально-тренувальній роботі комунальної дитячо-юнацької спортивної шк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ли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частині видатків на оплату послуг в сумі 35000,00 грн. (для виконання реконструкції системи газопостачання в Менській ДЮСШ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061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503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 КЕКВ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0+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000,00 грн.)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збільшити річну суму кошторисних призначень загального фонду відділу культури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 забезпеченню діяльності палаців і будинків культури, клубів, центрів дозвілля та інших клубних закладів в частині видатків на оплату послуг в сумі 430000,00 грн. (на поточний ремонт частини покрівлі КЗ «Центр культури і дозвілля молоді»)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1014060 КЕКВ 2240+430000,00 грн.)</w:t>
      </w:r>
      <w:r/>
    </w:p>
    <w:p>
      <w:pPr>
        <w:pStyle w:val="849"/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Зменшити видаткову частину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відділу освіти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по наданню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загальної середньої освіти закладами загальної середньої освіти за рахунок коштів місцевого бюджету</w:t>
      </w:r>
      <w:r>
        <w:rPr>
          <w:i/>
          <w:iCs/>
          <w:color w:val="333333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частині видатків на оплату послуг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сумі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000,00 грн.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збільшивши видатки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 забезпеченню діяльності інших закладів у сфері освіти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інші поточні видатки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 сумі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00,00 грн.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виконання Постанови Чернігівського апеляційного суду від 07.03.2023 року по справі №738/38/22 з метою сплати витрат на професійну правничу допомогу адвоката в суді апеляційної інстанції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061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 КЕКВ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000,00 грн.,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КПКВК 0611141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КЕКВ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0+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000,00 грн.)</w:t>
      </w:r>
      <w:r/>
    </w:p>
    <w:p>
      <w:pPr>
        <w:pStyle w:val="849"/>
        <w:numPr>
          <w:ilvl w:val="0"/>
          <w:numId w:val="4"/>
        </w:numPr>
        <w:ind w:left="0" w:firstLine="567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/>
      <w:bookmarkStart w:id="0" w:name="_Hlk125387624"/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видаткової частини бюджету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о утриманню та розвитку автомобільних доріг та дорожньої інфрастр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уктури за рахунок коштів місцевого бюджету в частині фінансування «Програми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роки», а саме: 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зменшити річну суму кошторисних призначень загального фонду Менської міської ради в частині видатків оплату послуг на суму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21200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збільши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т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и річну суму кошторисних призначень спеціального фонду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на капітальний ремонт інших об’єктів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на суму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212000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( для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виготовлення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проектно-кошторисної документації)</w:t>
      </w:r>
      <w:r/>
    </w:p>
    <w:p>
      <w:pPr>
        <w:pStyle w:val="849"/>
        <w:ind w:left="0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(КПКВК 0117461 КЕКВ 2240-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21200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КЕКВ 3132+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212000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</w:t>
      </w:r>
      <w:bookmarkEnd w:id="0"/>
      <w:r/>
      <w:r/>
    </w:p>
    <w:p>
      <w:pPr>
        <w:pStyle w:val="849"/>
        <w:numPr>
          <w:ilvl w:val="0"/>
          <w:numId w:val="4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видаткової частини бюджету Менської міської ради,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 інших заходах громадського порядку та безпеки в частині фінансування «Програми</w:t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підвищення обороноздатності та безпеки населених пунктів Менської  міської територіальної громади в умовах воєнного стану на 2023 рік», а саме:</w:t>
      </w:r>
      <w:r/>
    </w:p>
    <w:p>
      <w:pPr>
        <w:pStyle w:val="849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 зменшити річну суму кошторисних призначень загального фонду на придбання предметів, матеріалів, обладнання та інвентарю на суму 515000,00 грн.;</w:t>
      </w:r>
      <w:r/>
    </w:p>
    <w:p>
      <w:pPr>
        <w:pStyle w:val="849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 спеціального фонду на  придбання обладнання і предметів довгострокового користування на суму 515000,00 грн. ( для придбання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генераторів та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світлодіодної пошукової установки)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0118230 КЕКВ 2210 -515000,00 грн., КЕКВ 3110+515000,00 грн.)</w:t>
      </w:r>
      <w:r/>
    </w:p>
    <w:p>
      <w:pPr>
        <w:pStyle w:val="849"/>
        <w:numPr>
          <w:ilvl w:val="0"/>
          <w:numId w:val="4"/>
        </w:numPr>
        <w:ind w:left="0" w:firstLine="567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видаткової частини бюджету Менської міської ради, а саме: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 зменшити річну суму кошторисних призначень загального фонду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 розвитку мережі центрів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 частині видатків на оплату послуг на суму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50,00 грн.;</w:t>
      </w:r>
      <w:r/>
    </w:p>
    <w:p>
      <w:pPr>
        <w:pStyle w:val="849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 загального фонду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 апарату управління Менської 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 частині видатків на оплату послуг на суму 20000,00 грн. (для оплати послуг інтернет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</w:t>
      </w:r>
      <w:r/>
    </w:p>
    <w:p>
      <w:pPr>
        <w:pStyle w:val="849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загального фонду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 інших заходах громадського порядку та безпеки в частині фінансування «Програми</w:t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цивільного захисту Менської  міської територіальної громади на 2022-2024 роки» на придбання предметів, матеріалів, обладнання та інвентарю на суму 22050,00 грн. (для придбання меблів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0110150 КЕКВ 2240+20000,00 грн., КПКВК 0117390 КЕКВ 2240-42050,00 грн., КПКВК 0118230 КЕКВ 2210 +22050,00 грн.)</w:t>
      </w:r>
      <w:r/>
    </w:p>
    <w:p>
      <w:pPr>
        <w:pStyle w:val="849"/>
        <w:numPr>
          <w:ilvl w:val="0"/>
          <w:numId w:val="4"/>
        </w:numPr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 зміни до видаткової частини бюджету Менської міської ради по організації благоустрою населених пунктів, а саме: </w:t>
      </w:r>
      <w:r/>
    </w:p>
    <w:p>
      <w:pPr>
        <w:pStyle w:val="849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 зменшити річну суму кошторисних призначень загального фонду в частині видатків на оплату послуг на суму 25700,00 грн. в частині видатків на утримання;</w:t>
      </w:r>
      <w:r/>
    </w:p>
    <w:p>
      <w:pPr>
        <w:pStyle w:val="849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збільшити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річну суму кошторисних призначень загального фонду в частині видатків на оплату послуг на суму 25200,00 грн.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 на інші поточні видатки в  сумі 500,00 грн.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частині видатків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на фінансування програми управління майном комунальної власності Менської міської територіальної громади на 2022-2024 роки.</w:t>
      </w:r>
      <w:r/>
    </w:p>
    <w:p>
      <w:pPr>
        <w:pStyle w:val="849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0116030 КЕКВ 2240-500,00 грн., КЕКВ 2800+500,00 грн.)</w:t>
      </w:r>
      <w:r/>
    </w:p>
    <w:p>
      <w:pPr>
        <w:pStyle w:val="849"/>
        <w:ind w:left="2204"/>
        <w:jc w:val="both"/>
        <w:spacing w:lineRule="auto" w:line="240" w:after="0"/>
        <w:tabs>
          <w:tab w:val="left" w:pos="864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 w:afterAutospacing="0" w:before="21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Фінансового управління</w:t>
      </w:r>
      <w:r/>
    </w:p>
    <w:p>
      <w:pPr>
        <w:jc w:val="both"/>
        <w:spacing w:lineRule="auto" w:line="240"/>
        <w:tabs>
          <w:tab w:val="left" w:pos="65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  <w:tab/>
        <w:t xml:space="preserve">Алла НЕРОСЛИК</w:t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67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72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8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12"/>
  </w:num>
  <w:num w:numId="8">
    <w:abstractNumId w:val="0"/>
  </w:num>
  <w:num w:numId="9">
    <w:abstractNumId w:val="11"/>
  </w:num>
  <w:num w:numId="10">
    <w:abstractNumId w:val="2"/>
  </w:num>
  <w:num w:numId="11">
    <w:abstractNumId w:val="14"/>
  </w:num>
  <w:num w:numId="12">
    <w:abstractNumId w:val="5"/>
  </w:num>
  <w:num w:numId="13">
    <w:abstractNumId w:val="15"/>
  </w:num>
  <w:num w:numId="14">
    <w:abstractNumId w:val="10"/>
  </w:num>
  <w:num w:numId="15">
    <w:abstractNumId w:val="3"/>
  </w:num>
  <w:num w:numId="16">
    <w:abstractNumId w:val="6"/>
  </w:num>
  <w:num w:numId="17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4"/>
    <w:next w:val="844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9">
    <w:name w:val="Heading 1 Char"/>
    <w:basedOn w:val="845"/>
    <w:link w:val="668"/>
    <w:uiPriority w:val="9"/>
    <w:rPr>
      <w:rFonts w:ascii="Arial" w:hAnsi="Arial" w:cs="Arial" w:eastAsia="Arial"/>
      <w:sz w:val="40"/>
      <w:szCs w:val="40"/>
    </w:rPr>
  </w:style>
  <w:style w:type="paragraph" w:styleId="670">
    <w:name w:val="Heading 2"/>
    <w:basedOn w:val="844"/>
    <w:next w:val="844"/>
    <w:link w:val="6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1">
    <w:name w:val="Heading 2 Char"/>
    <w:basedOn w:val="845"/>
    <w:link w:val="670"/>
    <w:uiPriority w:val="9"/>
    <w:rPr>
      <w:rFonts w:ascii="Arial" w:hAnsi="Arial" w:cs="Arial" w:eastAsia="Arial"/>
      <w:sz w:val="34"/>
    </w:rPr>
  </w:style>
  <w:style w:type="paragraph" w:styleId="672">
    <w:name w:val="Heading 3"/>
    <w:basedOn w:val="844"/>
    <w:next w:val="844"/>
    <w:link w:val="67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3">
    <w:name w:val="Heading 3 Char"/>
    <w:basedOn w:val="845"/>
    <w:link w:val="672"/>
    <w:uiPriority w:val="9"/>
    <w:rPr>
      <w:rFonts w:ascii="Arial" w:hAnsi="Arial" w:cs="Arial" w:eastAsia="Arial"/>
      <w:sz w:val="30"/>
      <w:szCs w:val="30"/>
    </w:rPr>
  </w:style>
  <w:style w:type="paragraph" w:styleId="674">
    <w:name w:val="Heading 4"/>
    <w:basedOn w:val="844"/>
    <w:next w:val="844"/>
    <w:link w:val="67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5">
    <w:name w:val="Heading 4 Char"/>
    <w:basedOn w:val="845"/>
    <w:link w:val="674"/>
    <w:uiPriority w:val="9"/>
    <w:rPr>
      <w:rFonts w:ascii="Arial" w:hAnsi="Arial" w:cs="Arial" w:eastAsia="Arial"/>
      <w:b/>
      <w:bCs/>
      <w:sz w:val="26"/>
      <w:szCs w:val="26"/>
    </w:rPr>
  </w:style>
  <w:style w:type="paragraph" w:styleId="676">
    <w:name w:val="Heading 5"/>
    <w:basedOn w:val="844"/>
    <w:next w:val="844"/>
    <w:link w:val="67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7">
    <w:name w:val="Heading 5 Char"/>
    <w:basedOn w:val="845"/>
    <w:link w:val="676"/>
    <w:uiPriority w:val="9"/>
    <w:rPr>
      <w:rFonts w:ascii="Arial" w:hAnsi="Arial" w:cs="Arial" w:eastAsia="Arial"/>
      <w:b/>
      <w:bCs/>
      <w:sz w:val="24"/>
      <w:szCs w:val="24"/>
    </w:rPr>
  </w:style>
  <w:style w:type="paragraph" w:styleId="678">
    <w:name w:val="Heading 6"/>
    <w:basedOn w:val="844"/>
    <w:next w:val="844"/>
    <w:link w:val="67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9">
    <w:name w:val="Heading 6 Char"/>
    <w:basedOn w:val="845"/>
    <w:link w:val="678"/>
    <w:uiPriority w:val="9"/>
    <w:rPr>
      <w:rFonts w:ascii="Arial" w:hAnsi="Arial" w:cs="Arial" w:eastAsia="Arial"/>
      <w:b/>
      <w:bCs/>
      <w:sz w:val="22"/>
      <w:szCs w:val="22"/>
    </w:rPr>
  </w:style>
  <w:style w:type="paragraph" w:styleId="680">
    <w:name w:val="Heading 7"/>
    <w:basedOn w:val="844"/>
    <w:next w:val="844"/>
    <w:link w:val="68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1">
    <w:name w:val="Heading 7 Char"/>
    <w:basedOn w:val="845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2">
    <w:name w:val="Heading 8"/>
    <w:basedOn w:val="844"/>
    <w:next w:val="844"/>
    <w:link w:val="68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3">
    <w:name w:val="Heading 8 Char"/>
    <w:basedOn w:val="845"/>
    <w:link w:val="682"/>
    <w:uiPriority w:val="9"/>
    <w:rPr>
      <w:rFonts w:ascii="Arial" w:hAnsi="Arial" w:cs="Arial" w:eastAsia="Arial"/>
      <w:i/>
      <w:iCs/>
      <w:sz w:val="22"/>
      <w:szCs w:val="22"/>
    </w:rPr>
  </w:style>
  <w:style w:type="paragraph" w:styleId="684">
    <w:name w:val="Heading 9"/>
    <w:basedOn w:val="844"/>
    <w:next w:val="844"/>
    <w:link w:val="6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5">
    <w:name w:val="Heading 9 Char"/>
    <w:basedOn w:val="845"/>
    <w:link w:val="684"/>
    <w:uiPriority w:val="9"/>
    <w:rPr>
      <w:rFonts w:ascii="Arial" w:hAnsi="Arial" w:cs="Arial" w:eastAsia="Arial"/>
      <w:i/>
      <w:iCs/>
      <w:sz w:val="21"/>
      <w:szCs w:val="21"/>
    </w:rPr>
  </w:style>
  <w:style w:type="paragraph" w:styleId="686">
    <w:name w:val="No Spacing"/>
    <w:qFormat/>
    <w:uiPriority w:val="1"/>
    <w:pPr>
      <w:spacing w:lineRule="auto" w:line="240" w:after="0" w:before="0"/>
    </w:pPr>
  </w:style>
  <w:style w:type="paragraph" w:styleId="687">
    <w:name w:val="Title"/>
    <w:basedOn w:val="844"/>
    <w:next w:val="844"/>
    <w:link w:val="6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8">
    <w:name w:val="Title Char"/>
    <w:basedOn w:val="845"/>
    <w:link w:val="687"/>
    <w:uiPriority w:val="10"/>
    <w:rPr>
      <w:sz w:val="48"/>
      <w:szCs w:val="48"/>
    </w:rPr>
  </w:style>
  <w:style w:type="character" w:styleId="689">
    <w:name w:val="Subtitle Char"/>
    <w:basedOn w:val="845"/>
    <w:link w:val="850"/>
    <w:uiPriority w:val="11"/>
    <w:rPr>
      <w:sz w:val="24"/>
      <w:szCs w:val="24"/>
    </w:rPr>
  </w:style>
  <w:style w:type="paragraph" w:styleId="690">
    <w:name w:val="Quote"/>
    <w:basedOn w:val="844"/>
    <w:next w:val="844"/>
    <w:link w:val="691"/>
    <w:qFormat/>
    <w:uiPriority w:val="29"/>
    <w:rPr>
      <w:i/>
    </w:rPr>
    <w:pPr>
      <w:ind w:left="720" w:right="720"/>
    </w:p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4"/>
    <w:next w:val="844"/>
    <w:link w:val="69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4"/>
    <w:link w:val="6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>
    <w:name w:val="Header Char"/>
    <w:basedOn w:val="845"/>
    <w:link w:val="694"/>
    <w:uiPriority w:val="99"/>
  </w:style>
  <w:style w:type="paragraph" w:styleId="696">
    <w:name w:val="Footer"/>
    <w:basedOn w:val="844"/>
    <w:link w:val="6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7">
    <w:name w:val="Footer Char"/>
    <w:basedOn w:val="845"/>
    <w:link w:val="696"/>
    <w:uiPriority w:val="99"/>
  </w:style>
  <w:style w:type="paragraph" w:styleId="698">
    <w:name w:val="Caption"/>
    <w:basedOn w:val="844"/>
    <w:next w:val="8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basedOn w:val="8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>
    <w:name w:val="Grid Table 1 Light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4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>
    <w:name w:val="Grid Table 4 - Accent 1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0">
    <w:name w:val="Grid Table 4 - Accent 2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1">
    <w:name w:val="Grid Table 4 - Accent 3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2">
    <w:name w:val="Grid Table 4 - Accent 4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3">
    <w:name w:val="Grid Table 4 - Accent 5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4">
    <w:name w:val="Grid Table 4 - Accent 6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5">
    <w:name w:val="Grid Table 5 Dark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6">
    <w:name w:val="Grid Table 5 Dark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9">
    <w:name w:val="Grid Table 5 Dark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2">
    <w:name w:val="Grid Table 6 Colorful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4">
    <w:name w:val="List Table 2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5">
    <w:name w:val="List Table 2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6">
    <w:name w:val="List Table 2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7">
    <w:name w:val="List Table 2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8">
    <w:name w:val="List Table 2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9">
    <w:name w:val="List Table 2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0">
    <w:name w:val="List Table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2">
    <w:name w:val="List Table 6 Colorful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3">
    <w:name w:val="List Table 6 Colorful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4">
    <w:name w:val="List Table 6 Colorful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5">
    <w:name w:val="List Table 6 Colorful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6">
    <w:name w:val="List Table 6 Colorful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7">
    <w:name w:val="List Table 6 Colorful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8">
    <w:name w:val="List Table 7 Colorful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6">
    <w:name w:val="Lined - Accent 1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7">
    <w:name w:val="Lined - Accent 2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8">
    <w:name w:val="Lined - Accent 3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9">
    <w:name w:val="Lined - Accent 4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0">
    <w:name w:val="Lined - Accent 5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1">
    <w:name w:val="Lined - Accent 6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2">
    <w:name w:val="Bordered &amp; Lined - Accent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3">
    <w:name w:val="Bordered &amp; Lined - Accent 1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4">
    <w:name w:val="Bordered &amp; Lined - Accent 2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5">
    <w:name w:val="Bordered &amp; Lined - Accent 3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6">
    <w:name w:val="Bordered &amp; Lined - Accent 4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7">
    <w:name w:val="Bordered &amp; Lined - Accent 5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8">
    <w:name w:val="Bordered &amp; Lined - Accent 6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9">
    <w:name w:val="Bordered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0">
    <w:name w:val="Bordered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1">
    <w:name w:val="Bordered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2">
    <w:name w:val="Bordered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3">
    <w:name w:val="Bordered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4">
    <w:name w:val="Bordered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5">
    <w:name w:val="Bordered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rPr>
      <w:sz w:val="18"/>
    </w:rPr>
    <w:pPr>
      <w:spacing w:lineRule="auto" w:line="240" w:after="40"/>
    </w:p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5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rPr>
      <w:sz w:val="20"/>
    </w:rPr>
    <w:pPr>
      <w:spacing w:lineRule="auto" w:line="240" w:after="0"/>
    </w:p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5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paragraph" w:styleId="848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paragraph" w:styleId="849">
    <w:name w:val="List Paragraph"/>
    <w:basedOn w:val="844"/>
    <w:qFormat/>
    <w:uiPriority w:val="34"/>
    <w:pPr>
      <w:contextualSpacing w:val="true"/>
      <w:ind w:left="720"/>
    </w:pPr>
  </w:style>
  <w:style w:type="paragraph" w:styleId="850">
    <w:name w:val="Subtitle"/>
    <w:basedOn w:val="844"/>
    <w:next w:val="844"/>
    <w:link w:val="851"/>
    <w:qFormat/>
    <w:uiPriority w:val="11"/>
    <w:rPr>
      <w:rFonts w:eastAsiaTheme="minorEastAsia"/>
      <w:color w:val="5A5A5A" w:themeColor="text1" w:themeTint="A5"/>
      <w:spacing w:val="15"/>
    </w:rPr>
    <w:pPr>
      <w:numPr>
        <w:ilvl w:val="1"/>
      </w:numPr>
      <w:spacing w:after="160"/>
    </w:pPr>
  </w:style>
  <w:style w:type="character" w:styleId="851" w:customStyle="1">
    <w:name w:val="Підзаголовок Знак"/>
    <w:basedOn w:val="845"/>
    <w:link w:val="850"/>
    <w:uiPriority w:val="1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F967E1F-7205-4635-8B06-D360EA4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СТАЛЬНИЧЕНКО Юрій Валерійович</cp:lastModifiedBy>
  <cp:revision>165</cp:revision>
  <dcterms:created xsi:type="dcterms:W3CDTF">2022-12-09T07:34:00Z</dcterms:created>
  <dcterms:modified xsi:type="dcterms:W3CDTF">2023-05-03T13:31:47Z</dcterms:modified>
</cp:coreProperties>
</file>