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b w:val="fals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 w:val="false"/>
          <w:bCs/>
          <w:color w:val="000000"/>
          <w:sz w:val="28"/>
          <w:szCs w:val="28"/>
        </w:rPr>
        <w:t xml:space="preserve">Додаток до рішення 33 сесії Менської міської ради 8 скликання 28 квітня 2023 року №212</w:t>
      </w:r>
      <w:r>
        <w:rPr>
          <w:b w:val="false"/>
        </w:rPr>
      </w:r>
    </w:p>
    <w:p>
      <w:pPr>
        <w:ind w:left="5669" w:right="0" w:firstLine="0"/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b w:val="false"/>
          <w:color w:val="000000"/>
        </w:rPr>
      </w:pPr>
      <w:r>
        <w:rPr>
          <w:rFonts w:ascii="Times New Roman" w:hAnsi="Times New Roman" w:cs="Mangal" w:eastAsia="Lucida Sans Unicode"/>
          <w:b w:val="false"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Mangal" w:eastAsia="Lucida Sans Unicode"/>
          <w:b w:val="false"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МЕМОРАНДУМ ПРО СПІВРОБІТНИЦТВО </w:t>
      </w:r>
      <w:r/>
    </w:p>
    <w:p>
      <w:pPr>
        <w:ind w:left="0" w:right="0" w:firstLine="0"/>
        <w:jc w:val="center"/>
        <w:spacing w:lineRule="atLeast" w:line="65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між</w:t>
      </w:r>
      <w:r>
        <w:rPr>
          <w:sz w:val="28"/>
        </w:rPr>
        <w:t xml:space="preserve">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Менською міською радою</w:t>
      </w:r>
      <w:r>
        <w:rPr>
          <w:sz w:val="28"/>
        </w:rPr>
      </w:r>
      <w:r/>
    </w:p>
    <w:p>
      <w:pPr>
        <w:ind w:left="0" w:right="0" w:firstLine="0"/>
        <w:jc w:val="center"/>
        <w:spacing w:lineRule="atLeast" w:line="65"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та Березнянською селищною радою</w:t>
      </w:r>
      <w:r>
        <w:rPr>
          <w:sz w:val="28"/>
        </w:rPr>
      </w:r>
      <w:r/>
    </w:p>
    <w:p>
      <w:pPr>
        <w:ind w:left="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м. Мена                                                                                     «01» травня 2023 року</w:t>
      </w:r>
      <w:r/>
    </w:p>
    <w:p>
      <w:pPr>
        <w:ind w:left="0" w:right="0" w:firstLine="0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Сторона 1: Менська міська рада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особі Менського міського голови ПРИМАКОВА Геннадія  Анатолійовича, який діє на підставі Закону України «Про місцеве самоврядування в Україні»,</w:t>
      </w:r>
      <w:r/>
    </w:p>
    <w:p>
      <w:pPr>
        <w:ind w:left="0" w:right="0" w:firstLine="0"/>
        <w:jc w:val="both"/>
        <w:spacing w:lineRule="atLeast" w:line="65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Сторона 2: Березнянська селищна рада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особі Березнянського селищного голови ПАВЛЕНКА Володимира Михайловича, який діє на підставі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подальшому іменуються як Сторони, </w:t>
      </w:r>
      <w:r/>
    </w:p>
    <w:p>
      <w:pPr>
        <w:ind w:left="0" w:right="0" w:firstLine="0"/>
        <w:jc w:val="both"/>
        <w:spacing w:lineRule="atLeast" w:line="65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уклали цей Меморандум про співробітництво (далі – Меморандум) про таке:</w:t>
      </w:r>
      <w:r/>
    </w:p>
    <w:p>
      <w:pPr>
        <w:ind w:left="0" w:right="0" w:firstLine="0"/>
        <w:jc w:val="center"/>
        <w:spacing w:lineRule="atLeast" w:line="65" w:after="16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Загальні положення</w:t>
      </w:r>
      <w:r/>
    </w:p>
    <w:p>
      <w:pPr>
        <w:pStyle w:val="817"/>
        <w:numPr>
          <w:ilvl w:val="1"/>
          <w:numId w:val="9"/>
        </w:num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рамках цього Меморандуму Сторони керуються законодавством України та міжнародним законодавством, яке є частиною українського законодавства і здійснюють взаємодію на принципах рівноправності, відкритості та доброчесності.</w:t>
      </w:r>
      <w:r/>
    </w:p>
    <w:p>
      <w:pPr>
        <w:ind w:left="0" w:right="0" w:firstLine="0"/>
        <w:jc w:val="center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Мета та предмет Меморандуму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Метою Меморандуму є об’єднати зусилля Сторін щодо розробки та реалізації спільних проектів та програм соціально-економічно розвитку Сторін, налагодження взаємодії між Сторонами та їх сферами діяльності, передача успішних кейсів, знань та умінь у рамка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х ефективної співпраці; пошук можливостей та виявлення перешкод у діяльності громад.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2.2</w:t>
      </w:r>
      <w:r>
        <w:rPr>
          <w:rFonts w:ascii="Times New Roman" w:hAnsi="Times New Roman" w:cs="Times New Roman" w:eastAsia="Times New Roman"/>
          <w:color w:val="FF0000"/>
          <w:sz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Предметом Меморандуму є відносини та напрями співробітництва між Сторонами у розвитку територіальних громад.</w:t>
      </w:r>
      <w:r/>
    </w:p>
    <w:p>
      <w:pPr>
        <w:ind w:left="1069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Напрями співробітництва Сторін</w:t>
      </w:r>
      <w:r/>
    </w:p>
    <w:p>
      <w:pPr>
        <w:ind w:left="1069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0"/>
        </w:rPr>
        <w:t xml:space="preserve"> </w:t>
      </w:r>
      <w:r/>
    </w:p>
    <w:p>
      <w:pPr>
        <w:ind w:left="0" w:right="0" w:firstLine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Для реалізації мети та предмету Меморандуму Сторони визначають такі напрями співробітництва: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енергозбереження, енергоефективність, екологія та збереження довкілля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економіка та інвестиційна діяльність,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житлово-комунальне господарство та управління відходами;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водопостачання та водовідведення;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соціальна інфраструктура, підтримка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підприємництва та бізнесу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культура, освіта, туризм, охорона здоров'я та спорт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активізація місцевих мешканців з інтеграції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внутрішньо-переміщених осіб в громадянське суспільство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безпека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цифровізація публічних послуг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реалізація спільних заходів (семінари, конференції, конкурси, тощо);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партнерських та донорських організацій  для  реалізації мети Меморандуму;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Сторони спільно залучають і реалізовують проєкти міжнародної технічної допомоги;</w:t>
      </w:r>
      <w:r/>
    </w:p>
    <w:p>
      <w:pPr>
        <w:pStyle w:val="817"/>
        <w:numPr>
          <w:ilvl w:val="0"/>
          <w:numId w:val="2"/>
        </w:numPr>
        <w:ind w:right="0"/>
        <w:jc w:val="both"/>
        <w:spacing w:lineRule="atLeast" w:line="65" w:after="16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Сторони беруть участь у розробці та впровадженні взаємоузгоджених проєктів.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Перелік напрямків не є вичерпним та може доповнюватися за взаємною згодою сторін.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Права і обов’язки Сторін</w:t>
      </w:r>
      <w:r/>
    </w:p>
    <w:p>
      <w:pPr>
        <w:ind w:left="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0"/>
        </w:rPr>
        <w:t xml:space="preserve"> 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4.1. Співпраця Сторін здійснюється на основі цього Меморандуму та інших договорів, які можуть бути укладені на виконання завдань даної угоди.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4.2. Сторони самостійно визначають і формують склад своїх учасників для участі у спільних заходах.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4.3. Сторони можуть пропонувати перспективні напрямки діяльності.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4.4. Сторони домовилися, що умови Меморандуму не є конфіденційними та можуть надаватися третім особам у разі необхідності.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4.5. Сторони беруть на себе зобов’язання забезпечити збереження переданих іншою Стороною для ознайомлення, розгляду та опрацювання документальних матеріалів іншої Сторони, повернути їх в цілісності і за першою вимогою.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4.6. Всі зміни та доповнення до Меморандуму оформлюються письмово та за згодою Сторін.</w:t>
      </w:r>
      <w:r/>
    </w:p>
    <w:p>
      <w:pPr>
        <w:ind w:left="0" w:right="0" w:firstLine="567"/>
        <w:jc w:val="center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Термін дії</w:t>
      </w:r>
      <w:r/>
    </w:p>
    <w:p>
      <w:pPr>
        <w:contextualSpacing w:val="true"/>
        <w:ind w:left="0" w:right="0" w:firstLine="0"/>
        <w:spacing w:lineRule="atLeast" w:line="65" w:after="16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 Цей Меморандум є дійсним з дня підписання. Термін дії меморандуму є необмеженим.</w:t>
      </w:r>
      <w:r>
        <w:rPr>
          <w:color w:val="000000" w:themeColor="text1"/>
        </w:rPr>
        <w:t xml:space="preserve"> Дію меморандуму може бути припинено, якщо будь-яка зі Сторін поінформує іншу сторону в письмовій формі про своє бажання припинити дію цього Меморандуму. У такому разі дія Меморандуму припиняється через три місяці після написання такого листа. </w:t>
      </w:r>
      <w:r/>
    </w:p>
    <w:p>
      <w:pPr>
        <w:contextualSpacing w:val="true"/>
        <w:ind w:left="0" w:right="0" w:firstLine="0"/>
        <w:spacing w:lineRule="atLeast" w:line="65" w:after="16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Припинення дії Меморандуму не припиняє здійснення програм і проектів, які будуть започатковані протягом терміну його дії.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6. Відповідальність Сторін</w:t>
      </w:r>
      <w:r/>
    </w:p>
    <w:p>
      <w:pPr>
        <w:ind w:left="0" w:right="0" w:firstLine="0"/>
        <w:jc w:val="both"/>
        <w:spacing w:lineRule="atLeast" w:line="65" w:after="16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6.1. Жодна зі Сторін не несе перед іншою Стороною яких-небудь інших зобов’язань крім тих, що обумовлені даним Меморандумом.</w:t>
      </w:r>
      <w:r/>
    </w:p>
    <w:p>
      <w:pPr>
        <w:ind w:left="0" w:right="0" w:firstLine="0"/>
        <w:jc w:val="both"/>
        <w:spacing w:lineRule="atLeast" w:line="65" w:after="160" w:before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6.2. Сторони зобов’язуються не розголошувати конфіденційну інформацію, яка стала відома у процесі спільної діяльності.</w:t>
      </w:r>
      <w:r/>
    </w:p>
    <w:p>
      <w:pPr>
        <w:ind w:left="0" w:right="0" w:firstLine="0"/>
        <w:jc w:val="center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7. Прикінцеві положення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7.1. Сторони розглядають Меморандум як декларацію про наміри, що не призводять до юридичних чи фінансових наслідків або зобов’язань для  будь-кого з них.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7.2. Відносини Сторін, які виникли у Меморандумі, є виключно відносинами незалежних Сторін.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7.3. Кожна Сторона має право співпрацювати з третьою стороною збудь-яких питань, подібних до тих, які передбачаються Меморандумом.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7.4. Усі суперечки стосовно тлумачення і застосування положень Меморандуму будуть вирішуватися шляхом переговорів та консультацій між Сторонами.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7.5. 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її дії.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7.6. Текст Меморандуму складений українською мовою та підписаний у двох примірниках, по одному для кожної зі Сторін, при цьому всі тексти мають однакову юридичну силу.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7.7. Усі зміни та доповнення до Меморандуму повинні бути прийняті лише за згодою Сторін шляхом підписання відповідних Додатків, що є невід’ємною частиною Меморандуму.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7.8. Сторони зобов’язуються повідомляти одна одну про зміни реквізитів, що може впливати на виконання зобов’язань щодо Меморандуму.</w:t>
      </w:r>
      <w:r/>
    </w:p>
    <w:p>
      <w:pPr>
        <w:ind w:left="0" w:right="0" w:firstLine="0"/>
        <w:jc w:val="both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7.9. У випадках, непередбачених Меморандумом, сторони керуються нормами законодавства України.</w:t>
      </w:r>
      <w:r/>
    </w:p>
    <w:p>
      <w:pPr>
        <w:ind w:left="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8. Підписи Сторін</w:t>
      </w:r>
      <w:r/>
    </w:p>
    <w:tbl>
      <w:tblPr>
        <w:tblStyle w:val="831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1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  <w:t xml:space="preserve">Сторона 1: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Менська міська рада</w:t>
            </w:r>
            <w:r>
              <w:rPr>
                <w:b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Юридична адреса: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/>
                <w:color w:val="000000"/>
                <w:sz w:val="28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15600,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Чернігівськ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область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, </w:t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/>
                <w:color w:val="000000"/>
                <w:sz w:val="28"/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м. Мена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Герої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в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А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ТО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Calibri" w:hAnsi="Calibri" w:cs="Calibri" w:eastAsia="Calibri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  <w:t xml:space="preserve">Код ЄДРПОУ 04061777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left="0" w:right="0" w:firstLine="0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__________Геннадій ПРИМАКОВ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-348" w:right="0" w:firstLine="0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65" w:after="0" w:before="0"/>
              <w:rPr>
                <w:b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  <w:t xml:space="preserve">Сторона 2: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lineRule="atLeast" w:line="65" w:after="0" w:before="0"/>
              <w:rPr>
                <w:rFonts w:ascii="Times New Roman" w:hAnsi="Times New Roman" w:cs="Times New Roman" w:eastAsia="Times New Roman"/>
                <w:b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Березнянська селищна рада</w:t>
            </w:r>
            <w:r>
              <w:rPr>
                <w:b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Юридична адреса: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/>
                <w:color w:val="000000"/>
                <w:sz w:val="28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15622,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Чернігівськ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область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,</w:t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/>
                <w:color w:val="000000"/>
                <w:sz w:val="28"/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с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мт. Березна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вул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 xml:space="preserve">Свято-Покровська, </w:t>
            </w:r>
            <w:r>
              <w:rPr>
                <w:rFonts w:ascii="Times New Roman" w:hAnsi="Times New Roman"/>
                <w:color w:val="000000"/>
                <w:sz w:val="28"/>
                <w:highlight w:val="none"/>
                <w:lang w:val="ru-RU"/>
              </w:rPr>
              <w:t xml:space="preserve">2а</w:t>
            </w:r>
            <w:r/>
          </w:p>
          <w:p>
            <w:pPr>
              <w:ind w:left="0" w:right="0" w:firstLine="0"/>
              <w:spacing w:lineRule="atLeast" w:line="65" w:after="0" w:before="0"/>
              <w:rPr>
                <w:rFonts w:ascii="Times New Roman" w:hAnsi="Times New Roman"/>
                <w:color w:val="000000"/>
                <w:sz w:val="28"/>
                <w:highlight w:val="none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  <w:t xml:space="preserve">Код ЄДРПОУ 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  <w:t xml:space="preserve">04412366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none"/>
                <w:lang w:val="ru-RU"/>
              </w:rPr>
            </w:r>
            <w:r/>
          </w:p>
          <w:p>
            <w:pPr>
              <w:ind w:left="0" w:right="0" w:firstLine="0"/>
              <w:jc w:val="both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lineRule="atLeast" w:line="65"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Селищний голова</w:t>
            </w:r>
            <w:r/>
          </w:p>
          <w:p>
            <w:pPr>
              <w:ind w:left="0" w:right="0" w:firstLine="0"/>
              <w:jc w:val="both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left="0" w:right="0" w:firstLine="0"/>
              <w:jc w:val="both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_____________Володимир ПАВЛЕНКО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ind w:left="0" w:right="0" w:firstLine="0"/>
        <w:spacing w:lineRule="atLeast" w:line="6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 w:eastAsia="Times New Roman"/>
          <w:sz w:val="16"/>
          <w:szCs w:val="16"/>
          <w:highlight w:val="none"/>
        </w:rPr>
      </w:pPr>
      <w:r>
        <w:rPr>
          <w:rFonts w:ascii="Times New Roman" w:hAnsi="Times New Roman" w:cs="Times New Roman" w:eastAsia="Times New Roman"/>
          <w:sz w:val="16"/>
          <w:szCs w:val="16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  <w:p>
    <w:pPr>
      <w:pStyle w:val="82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Caption Char"/>
    <w:basedOn w:val="871"/>
    <w:link w:val="829"/>
    <w:uiPriority w:val="99"/>
  </w:style>
  <w:style w:type="paragraph" w:styleId="689">
    <w:name w:val="endnote text"/>
    <w:basedOn w:val="867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868"/>
    <w:uiPriority w:val="99"/>
    <w:semiHidden/>
    <w:unhideWhenUsed/>
    <w:rPr>
      <w:vertAlign w:val="superscript"/>
    </w:rPr>
  </w:style>
  <w:style w:type="paragraph" w:styleId="692">
    <w:name w:val="table of figures"/>
    <w:basedOn w:val="867"/>
    <w:next w:val="867"/>
    <w:uiPriority w:val="99"/>
    <w:unhideWhenUsed/>
    <w:pPr>
      <w:spacing w:after="0" w:afterAutospacing="0"/>
    </w:pPr>
  </w:style>
  <w:style w:type="table" w:styleId="69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9">
    <w:name w:val="Heading 1"/>
    <w:basedOn w:val="867"/>
    <w:next w:val="867"/>
    <w:link w:val="800"/>
    <w:qFormat/>
    <w:uiPriority w:val="9"/>
    <w:rPr>
      <w:rFonts w:ascii="Times New Roman" w:hAnsi="Times New Roman" w:cs="Times New Roman" w:eastAsia="Times New Roman"/>
      <w:b/>
      <w:sz w:val="28"/>
      <w:szCs w:val="28"/>
    </w:rPr>
    <w:pPr>
      <w:ind w:left="0" w:right="5528" w:firstLine="0"/>
      <w:jc w:val="both"/>
      <w:spacing w:lineRule="auto" w:line="240" w:after="0" w:afterAutospacing="0"/>
    </w:pPr>
  </w:style>
  <w:style w:type="character" w:styleId="800">
    <w:name w:val="Heading 1 Char"/>
    <w:link w:val="799"/>
    <w:uiPriority w:val="9"/>
    <w:rPr>
      <w:rFonts w:ascii="Times New Roman" w:hAnsi="Times New Roman" w:cs="Times New Roman" w:eastAsia="Times New Roman"/>
      <w:b/>
      <w:sz w:val="28"/>
      <w:szCs w:val="28"/>
    </w:rPr>
  </w:style>
  <w:style w:type="paragraph" w:styleId="801">
    <w:name w:val="Heading 2"/>
    <w:basedOn w:val="867"/>
    <w:next w:val="867"/>
    <w:link w:val="802"/>
    <w:qFormat/>
    <w:uiPriority w:val="9"/>
    <w:unhideWhenUsed/>
    <w:rPr>
      <w:rFonts w:ascii="Times New Roman" w:hAnsi="Times New Roman" w:cs="Times New Roman" w:eastAsia="Times New Roman"/>
      <w:b/>
      <w:sz w:val="28"/>
      <w:szCs w:val="28"/>
    </w:rPr>
    <w:pPr>
      <w:ind w:left="0" w:right="5528" w:firstLine="0"/>
      <w:jc w:val="both"/>
      <w:spacing w:lineRule="auto" w:line="240" w:after="0" w:afterAutospacing="0"/>
    </w:pPr>
  </w:style>
  <w:style w:type="character" w:styleId="802">
    <w:name w:val="Heading 2 Char"/>
    <w:link w:val="801"/>
    <w:uiPriority w:val="9"/>
    <w:rPr>
      <w:rFonts w:ascii="Times New Roman" w:hAnsi="Times New Roman" w:cs="Times New Roman" w:eastAsia="Times New Roman"/>
      <w:b/>
      <w:sz w:val="28"/>
      <w:szCs w:val="28"/>
    </w:rPr>
  </w:style>
  <w:style w:type="paragraph" w:styleId="803">
    <w:name w:val="Heading 3"/>
    <w:basedOn w:val="867"/>
    <w:next w:val="867"/>
    <w:link w:val="804"/>
    <w:qFormat/>
    <w:uiPriority w:val="9"/>
    <w:unhideWhenUsed/>
    <w:rPr>
      <w:rFonts w:ascii="Times New Roman" w:hAnsi="Times New Roman" w:cs="Times New Roman" w:eastAsia="Times New Roman"/>
      <w:sz w:val="28"/>
      <w:szCs w:val="28"/>
    </w:rPr>
    <w:pPr>
      <w:ind w:left="5102" w:right="0" w:firstLine="0"/>
      <w:spacing w:lineRule="auto" w:line="240" w:after="0" w:afterAutospacing="0"/>
    </w:pPr>
  </w:style>
  <w:style w:type="character" w:styleId="804">
    <w:name w:val="Heading 3 Char"/>
    <w:link w:val="803"/>
    <w:uiPriority w:val="9"/>
    <w:rPr>
      <w:rFonts w:ascii="Times New Roman" w:hAnsi="Times New Roman" w:cs="Times New Roman" w:eastAsia="Times New Roman"/>
      <w:sz w:val="28"/>
      <w:szCs w:val="28"/>
    </w:rPr>
  </w:style>
  <w:style w:type="paragraph" w:styleId="805">
    <w:name w:val="Heading 4"/>
    <w:basedOn w:val="867"/>
    <w:next w:val="86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86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867"/>
    <w:next w:val="8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86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867"/>
    <w:next w:val="8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86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867"/>
    <w:next w:val="86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86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867"/>
    <w:next w:val="86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86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867"/>
    <w:next w:val="86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86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86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867"/>
    <w:next w:val="86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868"/>
    <w:link w:val="819"/>
    <w:uiPriority w:val="10"/>
    <w:rPr>
      <w:sz w:val="48"/>
      <w:szCs w:val="48"/>
    </w:rPr>
  </w:style>
  <w:style w:type="paragraph" w:styleId="821">
    <w:name w:val="Subtitle"/>
    <w:basedOn w:val="867"/>
    <w:next w:val="86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868"/>
    <w:link w:val="821"/>
    <w:uiPriority w:val="11"/>
    <w:rPr>
      <w:sz w:val="24"/>
      <w:szCs w:val="24"/>
    </w:rPr>
  </w:style>
  <w:style w:type="paragraph" w:styleId="823">
    <w:name w:val="Quote"/>
    <w:basedOn w:val="867"/>
    <w:next w:val="86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867"/>
    <w:next w:val="86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86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868"/>
    <w:link w:val="827"/>
    <w:uiPriority w:val="99"/>
  </w:style>
  <w:style w:type="paragraph" w:styleId="829">
    <w:name w:val="Footer"/>
    <w:basedOn w:val="867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868"/>
    <w:link w:val="829"/>
    <w:uiPriority w:val="99"/>
  </w:style>
  <w:style w:type="table" w:styleId="831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>
    <w:name w:val="Bordered &amp; 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67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68"/>
    <w:uiPriority w:val="99"/>
    <w:unhideWhenUsed/>
    <w:rPr>
      <w:vertAlign w:val="superscript"/>
    </w:rPr>
  </w:style>
  <w:style w:type="paragraph" w:styleId="857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left="0" w:right="0" w:firstLine="567"/>
      <w:jc w:val="both"/>
      <w:spacing w:lineRule="auto" w:line="240" w:after="0" w:afterAutospacing="0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Caption"/>
    <w:qFormat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19</cp:revision>
  <dcterms:modified xsi:type="dcterms:W3CDTF">2023-05-01T11:14:23Z</dcterms:modified>
</cp:coreProperties>
</file>