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53"/>
        <w:ind w:left="5669"/>
        <w:jc w:val="both"/>
        <w:tabs>
          <w:tab w:val="left" w:pos="10490" w:leader="none"/>
        </w:tabs>
        <w:rPr>
          <w:sz w:val="28"/>
        </w:rPr>
      </w:pPr>
      <w:r>
        <w:rPr>
          <w:sz w:val="28"/>
        </w:rPr>
        <w:t xml:space="preserve">Додаток  </w:t>
      </w:r>
      <w:r/>
    </w:p>
    <w:p>
      <w:pPr>
        <w:pStyle w:val="1053"/>
        <w:ind w:left="5669"/>
        <w:jc w:val="both"/>
        <w:tabs>
          <w:tab w:val="left" w:pos="10490" w:leader="none"/>
        </w:tabs>
        <w:rPr>
          <w:b w:val="false"/>
          <w:sz w:val="28"/>
        </w:rPr>
      </w:pPr>
      <w:r>
        <w:rPr>
          <w:b w:val="false"/>
          <w:sz w:val="28"/>
        </w:rPr>
        <w:t xml:space="preserve">д</w:t>
      </w:r>
      <w:r>
        <w:rPr>
          <w:b w:val="false"/>
          <w:sz w:val="28"/>
        </w:rPr>
        <w:t xml:space="preserve">о</w:t>
      </w:r>
      <w:r>
        <w:rPr>
          <w:b w:val="false"/>
          <w:sz w:val="28"/>
        </w:rPr>
        <w:t xml:space="preserve"> </w:t>
      </w:r>
      <w:r>
        <w:rPr>
          <w:b w:val="false"/>
          <w:sz w:val="28"/>
        </w:rPr>
        <w:t xml:space="preserve">рішення </w:t>
      </w:r>
      <w:r>
        <w:rPr>
          <w:b w:val="false"/>
          <w:sz w:val="28"/>
        </w:rPr>
        <w:t xml:space="preserve">33 </w:t>
      </w:r>
      <w:r>
        <w:rPr>
          <w:b w:val="false"/>
          <w:sz w:val="28"/>
        </w:rPr>
        <w:t xml:space="preserve">сесії</w:t>
      </w:r>
      <w:r>
        <w:rPr>
          <w:b w:val="false"/>
          <w:sz w:val="28"/>
        </w:rPr>
        <w:t xml:space="preserve"> </w:t>
      </w:r>
      <w:r>
        <w:rPr>
          <w:b w:val="false"/>
          <w:sz w:val="28"/>
        </w:rPr>
        <w:t xml:space="preserve">Менс</w:t>
      </w:r>
      <w:r>
        <w:rPr>
          <w:b w:val="false"/>
          <w:sz w:val="28"/>
        </w:rPr>
        <w:t xml:space="preserve">ької міської ради 8 скликання </w:t>
      </w:r>
      <w:r/>
    </w:p>
    <w:p>
      <w:pPr>
        <w:pStyle w:val="1053"/>
        <w:ind w:left="5669"/>
        <w:jc w:val="both"/>
        <w:tabs>
          <w:tab w:val="left" w:pos="10490" w:leader="none"/>
        </w:tabs>
        <w:rPr>
          <w:b w:val="false"/>
          <w:sz w:val="28"/>
        </w:rPr>
      </w:pPr>
      <w:r>
        <w:rPr>
          <w:b w:val="false"/>
          <w:sz w:val="28"/>
        </w:rPr>
      </w:r>
      <w:r>
        <w:rPr>
          <w:b w:val="false"/>
          <w:sz w:val="28"/>
        </w:rPr>
        <w:t xml:space="preserve">28 квітня</w:t>
      </w:r>
      <w:r>
        <w:rPr>
          <w:b w:val="false"/>
          <w:sz w:val="28"/>
        </w:rPr>
        <w:t xml:space="preserve"> 202</w:t>
      </w:r>
      <w:r>
        <w:rPr>
          <w:b w:val="false"/>
          <w:sz w:val="28"/>
        </w:rPr>
        <w:t xml:space="preserve">3</w:t>
      </w:r>
      <w:r>
        <w:rPr>
          <w:b w:val="false"/>
          <w:sz w:val="28"/>
        </w:rPr>
        <w:t xml:space="preserve"> року № </w:t>
      </w:r>
      <w:r>
        <w:rPr>
          <w:b w:val="false"/>
          <w:sz w:val="28"/>
          <w:szCs w:val="24"/>
        </w:rPr>
        <w:t xml:space="preserve">206</w:t>
      </w:r>
      <w:r>
        <w:rPr>
          <w:b w:val="false"/>
          <w:sz w:val="28"/>
        </w:rPr>
      </w:r>
    </w:p>
    <w:p>
      <w:pPr>
        <w:pStyle w:val="1036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</w:r>
      <w:r/>
    </w:p>
    <w:p>
      <w:pPr>
        <w:pStyle w:val="1036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</w:r>
      <w:r/>
    </w:p>
    <w:p>
      <w:pPr>
        <w:pStyle w:val="1036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</w:r>
      <w:r/>
    </w:p>
    <w:p>
      <w:pPr>
        <w:pStyle w:val="1036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</w:r>
      <w:r/>
    </w:p>
    <w:p>
      <w:pPr>
        <w:pStyle w:val="1036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</w:r>
      <w:r/>
    </w:p>
    <w:p>
      <w:pPr>
        <w:pStyle w:val="1036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</w:r>
      <w:r/>
    </w:p>
    <w:p>
      <w:pPr>
        <w:pStyle w:val="1036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</w:r>
      <w:r/>
    </w:p>
    <w:p>
      <w:pPr>
        <w:pStyle w:val="103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Програма</w:t>
      </w:r>
      <w:r/>
    </w:p>
    <w:p>
      <w:pPr>
        <w:pStyle w:val="103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відшкодування пільг з послуг зв’язку </w:t>
      </w:r>
      <w:r>
        <w:rPr>
          <w:b/>
          <w:bCs/>
          <w:sz w:val="28"/>
          <w:szCs w:val="28"/>
          <w:lang w:val="uk-UA"/>
        </w:rPr>
        <w:t xml:space="preserve">та </w:t>
      </w:r>
      <w:r/>
    </w:p>
    <w:p>
      <w:pPr>
        <w:pStyle w:val="1036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компенсаційних виплат за пільговий проїзд залізничним транспортом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жителів Менської міської територіальної громади на 202</w:t>
      </w:r>
      <w:r>
        <w:rPr>
          <w:b/>
          <w:bCs/>
          <w:sz w:val="28"/>
          <w:szCs w:val="28"/>
          <w:lang w:val="uk-UA"/>
        </w:rPr>
        <w:t xml:space="preserve">2- 2024</w:t>
      </w:r>
      <w:r>
        <w:rPr>
          <w:b/>
          <w:sz w:val="28"/>
          <w:szCs w:val="28"/>
          <w:lang w:val="uk-UA"/>
        </w:rPr>
        <w:t xml:space="preserve"> р</w:t>
      </w:r>
      <w:r>
        <w:rPr>
          <w:b/>
          <w:bCs/>
          <w:sz w:val="28"/>
          <w:szCs w:val="28"/>
          <w:lang w:val="uk-UA"/>
        </w:rPr>
        <w:t xml:space="preserve">оки</w:t>
      </w:r>
      <w:r/>
    </w:p>
    <w:p>
      <w:pPr>
        <w:pStyle w:val="10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</w:t>
      </w:r>
      <w:r>
        <w:rPr>
          <w:sz w:val="28"/>
          <w:szCs w:val="28"/>
          <w:lang w:val="uk-UA"/>
        </w:rPr>
        <w:t xml:space="preserve">нова редакція</w:t>
      </w:r>
      <w:r>
        <w:rPr>
          <w:sz w:val="28"/>
          <w:szCs w:val="28"/>
          <w:lang w:val="uk-UA"/>
        </w:rPr>
        <w:t xml:space="preserve">)</w:t>
      </w:r>
      <w:r/>
    </w:p>
    <w:p>
      <w:pPr>
        <w:pStyle w:val="103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м. Мена</w:t>
      </w:r>
      <w:r/>
    </w:p>
    <w:p>
      <w:pPr>
        <w:pStyle w:val="103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202</w:t>
      </w:r>
      <w:r>
        <w:rPr>
          <w:b/>
          <w:sz w:val="28"/>
          <w:szCs w:val="28"/>
          <w:lang w:val="uk-UA"/>
        </w:rPr>
        <w:t xml:space="preserve">3</w:t>
      </w:r>
      <w:r>
        <w:rPr>
          <w:b/>
          <w:sz w:val="28"/>
          <w:szCs w:val="28"/>
          <w:lang w:val="uk-UA"/>
        </w:rPr>
        <w:t xml:space="preserve"> рік</w:t>
      </w:r>
      <w:r/>
    </w:p>
    <w:p>
      <w:pPr>
        <w:pStyle w:val="1036"/>
        <w:ind w:left="708"/>
        <w:jc w:val="center"/>
        <w:rPr>
          <w:b/>
          <w:sz w:val="28"/>
          <w:szCs w:val="32"/>
        </w:rPr>
      </w:pPr>
      <w:r>
        <w:rPr>
          <w:b/>
          <w:sz w:val="28"/>
          <w:szCs w:val="32"/>
          <w:highlight w:val="none"/>
          <w:lang w:val="uk-UA"/>
        </w:rPr>
      </w:r>
      <w:r>
        <w:rPr>
          <w:b/>
          <w:sz w:val="28"/>
          <w:szCs w:val="32"/>
          <w:highlight w:val="none"/>
          <w:lang w:val="uk-UA"/>
        </w:rPr>
      </w:r>
      <w:r/>
    </w:p>
    <w:p>
      <w:pPr>
        <w:pStyle w:val="1036"/>
        <w:ind w:left="708"/>
        <w:jc w:val="center"/>
        <w:rPr>
          <w:b/>
          <w:sz w:val="28"/>
          <w:szCs w:val="32"/>
          <w:highlight w:val="none"/>
          <w:lang w:val="uk-UA"/>
        </w:rPr>
      </w:pPr>
      <w:r>
        <w:rPr>
          <w:b/>
          <w:sz w:val="28"/>
          <w:szCs w:val="32"/>
          <w:lang w:val="uk-UA"/>
        </w:rPr>
        <w:t xml:space="preserve">Зміст Програми</w:t>
      </w:r>
      <w:r/>
    </w:p>
    <w:p>
      <w:pPr>
        <w:pStyle w:val="1036"/>
        <w:ind w:left="708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</w:r>
      <w:r/>
    </w:p>
    <w:p>
      <w:pPr>
        <w:pStyle w:val="883"/>
        <w:rPr>
          <w:sz w:val="28"/>
          <w:szCs w:val="28"/>
        </w:rPr>
      </w:pPr>
      <w:r>
        <w:rPr>
          <w:sz w:val="28"/>
          <w:szCs w:val="28"/>
        </w:rPr>
        <w:t xml:space="preserve">1. Паспорт Програми.</w:t>
      </w:r>
      <w:r/>
    </w:p>
    <w:p>
      <w:pPr>
        <w:pStyle w:val="88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1045"/>
          <w:rFonts w:eastAsia="Arial"/>
          <w:b w:val="false"/>
          <w:bCs w:val="false"/>
          <w:sz w:val="28"/>
          <w:szCs w:val="28"/>
          <w:shd w:val="clear" w:fill="FFFFFF" w:color="auto"/>
        </w:rPr>
        <w:t xml:space="preserve"> Визначення проблеми, на розв’язання якої спрямована Програма.</w:t>
      </w:r>
      <w:r/>
    </w:p>
    <w:p>
      <w:pPr>
        <w:pStyle w:val="883"/>
        <w:rPr>
          <w:sz w:val="28"/>
          <w:szCs w:val="28"/>
        </w:rPr>
      </w:pPr>
      <w:r>
        <w:rPr>
          <w:sz w:val="28"/>
          <w:szCs w:val="28"/>
        </w:rPr>
        <w:t xml:space="preserve">3. Мета Програми.</w:t>
      </w:r>
      <w:r/>
    </w:p>
    <w:p>
      <w:pPr>
        <w:pStyle w:val="883"/>
        <w:rPr>
          <w:sz w:val="28"/>
          <w:szCs w:val="28"/>
        </w:rPr>
      </w:pPr>
      <w:r>
        <w:rPr>
          <w:sz w:val="28"/>
          <w:szCs w:val="28"/>
        </w:rPr>
        <w:t xml:space="preserve">4.</w:t>
      </w:r>
      <w:r>
        <w:rPr>
          <w:rStyle w:val="1045"/>
          <w:rFonts w:eastAsia="Arial"/>
          <w:b w:val="false"/>
          <w:bCs w:val="false"/>
          <w:sz w:val="28"/>
          <w:szCs w:val="28"/>
        </w:rPr>
        <w:t xml:space="preserve"> Обґрунтування шляхів і засобів розв’язання проблеми, строки виконання.</w:t>
      </w:r>
      <w:r/>
    </w:p>
    <w:p>
      <w:pPr>
        <w:pStyle w:val="883"/>
        <w:rPr>
          <w:sz w:val="28"/>
          <w:szCs w:val="28"/>
        </w:rPr>
      </w:pPr>
      <w:r>
        <w:rPr>
          <w:sz w:val="28"/>
          <w:szCs w:val="28"/>
        </w:rPr>
        <w:t xml:space="preserve">5. Завдання Програми, обсяги та джерела фінансування.</w:t>
      </w:r>
      <w:r/>
    </w:p>
    <w:p>
      <w:pPr>
        <w:pStyle w:val="883"/>
        <w:rPr>
          <w:sz w:val="28"/>
          <w:szCs w:val="28"/>
        </w:rPr>
      </w:pPr>
      <w:r>
        <w:rPr>
          <w:sz w:val="28"/>
          <w:szCs w:val="28"/>
        </w:rPr>
        <w:t xml:space="preserve">6. Ресурсне забезпечення Програми.</w:t>
      </w:r>
      <w:r/>
    </w:p>
    <w:p>
      <w:pPr>
        <w:pStyle w:val="883"/>
        <w:rPr>
          <w:sz w:val="28"/>
          <w:szCs w:val="28"/>
        </w:rPr>
      </w:pPr>
      <w:r>
        <w:rPr>
          <w:sz w:val="28"/>
          <w:szCs w:val="28"/>
        </w:rPr>
        <w:t xml:space="preserve">7. Напрями діяльності та заходи Програми.</w:t>
      </w:r>
      <w:r/>
    </w:p>
    <w:p>
      <w:pPr>
        <w:pStyle w:val="883"/>
        <w:rPr>
          <w:sz w:val="28"/>
          <w:szCs w:val="28"/>
        </w:rPr>
      </w:pPr>
      <w:r>
        <w:rPr>
          <w:sz w:val="28"/>
          <w:szCs w:val="28"/>
        </w:rPr>
        <w:t xml:space="preserve">8. Очікувані результати виконання Програми.</w:t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1036"/>
        <w:numPr>
          <w:ilvl w:val="0"/>
          <w:numId w:val="18"/>
        </w:numPr>
        <w:ind w:left="0" w:firstLine="0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Паспорт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Програми </w:t>
      </w:r>
      <w:r/>
    </w:p>
    <w:p>
      <w:pPr>
        <w:pStyle w:val="103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відшкодування пільг з послуг зв’язку </w:t>
      </w:r>
      <w:r>
        <w:rPr>
          <w:b/>
          <w:bCs/>
          <w:sz w:val="28"/>
          <w:szCs w:val="28"/>
          <w:lang w:val="uk-UA"/>
        </w:rPr>
        <w:t xml:space="preserve">та компенсаційних виплат за пільговий проїзд залізничним транспортом</w:t>
      </w:r>
      <w:r>
        <w:rPr>
          <w:b/>
          <w:sz w:val="28"/>
          <w:szCs w:val="28"/>
          <w:lang w:val="uk-UA"/>
        </w:rPr>
        <w:t xml:space="preserve"> жителів Менської міської територіальної громади на 202</w:t>
      </w:r>
      <w:r>
        <w:rPr>
          <w:b/>
          <w:bCs/>
          <w:sz w:val="28"/>
          <w:szCs w:val="28"/>
          <w:lang w:val="uk-UA"/>
        </w:rPr>
        <w:t xml:space="preserve">2- 2024</w:t>
      </w:r>
      <w:r>
        <w:rPr>
          <w:b/>
          <w:sz w:val="28"/>
          <w:szCs w:val="28"/>
          <w:lang w:val="uk-UA"/>
        </w:rPr>
        <w:t xml:space="preserve"> р</w:t>
      </w:r>
      <w:r>
        <w:rPr>
          <w:b/>
          <w:bCs/>
          <w:sz w:val="28"/>
          <w:szCs w:val="28"/>
          <w:lang w:val="uk-UA"/>
        </w:rPr>
        <w:t xml:space="preserve">оки</w:t>
      </w:r>
      <w:r/>
    </w:p>
    <w:p>
      <w:pPr>
        <w:pStyle w:val="103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tbl>
      <w:tblPr>
        <w:tblW w:w="9579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9"/>
        <w:gridCol w:w="5610"/>
      </w:tblGrid>
      <w:tr>
        <w:trPr>
          <w:trHeight w:val="15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textDirection w:val="lrTb"/>
            <w:noWrap/>
          </w:tcPr>
          <w:p>
            <w:pPr>
              <w:pStyle w:val="1046"/>
              <w:jc w:val="center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9" w:type="dxa"/>
            <w:textDirection w:val="lrTb"/>
            <w:noWrap/>
          </w:tcPr>
          <w:p>
            <w:pPr>
              <w:pStyle w:val="1046"/>
              <w:jc w:val="center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Ініціатор розроблення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10" w:type="dxa"/>
            <w:textDirection w:val="lrTb"/>
            <w:noWrap/>
          </w:tcPr>
          <w:p>
            <w:pPr>
              <w:pStyle w:val="1046"/>
              <w:ind w:right="114"/>
              <w:jc w:val="center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Менська міська рада</w:t>
            </w:r>
            <w:r/>
          </w:p>
        </w:tc>
      </w:tr>
      <w:tr>
        <w:trPr>
          <w:trHeight w:val="84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textDirection w:val="lrTb"/>
            <w:noWrap/>
          </w:tcPr>
          <w:p>
            <w:pPr>
              <w:pStyle w:val="1046"/>
              <w:jc w:val="center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9" w:type="dxa"/>
            <w:textDirection w:val="lrTb"/>
            <w:noWrap/>
          </w:tcPr>
          <w:p>
            <w:pPr>
              <w:pStyle w:val="1046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Дата, номер і назва нормативних документів про необхідність розроблення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10" w:type="dxa"/>
            <w:textDirection w:val="lrTb"/>
            <w:noWrap/>
          </w:tcPr>
          <w:p>
            <w:pPr>
              <w:pStyle w:val="1046"/>
              <w:jc w:val="both"/>
              <w:spacing w:after="0" w:afterAutospacing="0" w:before="0" w:before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fill="FFFFFF" w:color="auto"/>
                <w:lang w:val="uk-UA"/>
              </w:rPr>
              <w:t xml:space="preserve">ст. 91 Бюджетного кодексу України, </w:t>
            </w:r>
            <w:r>
              <w:rPr>
                <w:sz w:val="28"/>
                <w:szCs w:val="28"/>
                <w:lang w:val="uk-UA"/>
              </w:rPr>
              <w:t xml:space="preserve">Закон України «Про статус ветеранів війни, гарантії їх соціального захисту», </w:t>
            </w:r>
            <w:r>
              <w:rPr>
                <w:rStyle w:val="1047"/>
                <w:sz w:val="28"/>
                <w:szCs w:val="28"/>
                <w:shd w:val="clear" w:fill="FFFFFF" w:color="auto"/>
                <w:lang w:val="uk-UA"/>
              </w:rPr>
              <w:t xml:space="preserve">Закон України «</w:t>
            </w:r>
            <w:r>
              <w:rPr>
                <w:bCs/>
                <w:sz w:val="28"/>
                <w:szCs w:val="28"/>
                <w:lang w:val="uk-UA"/>
              </w:rPr>
              <w:t xml:space="preserve">Про статус ветеранів військової служби, ветеранів органів внутрішніх справ, ветеранів Національної поліції і деяких інших осіб та їх соціальний захист», </w:t>
            </w: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  <w:shd w:val="clear" w:fill="FFFFFF" w:color="auto"/>
                <w:lang w:val="uk-UA"/>
              </w:rPr>
              <w:t xml:space="preserve">«Про статус і соціальний захист громадян, які постраждали внаслідок Чорнобильської катастрофи»,</w:t>
            </w:r>
            <w:r>
              <w:rPr>
                <w:sz w:val="28"/>
                <w:szCs w:val="28"/>
                <w:lang w:val="uk-UA"/>
              </w:rPr>
              <w:t xml:space="preserve"> Закон України «Про соціальний і правовий захист військовослужбовців та членів їх сімей»,</w:t>
            </w:r>
            <w:r/>
          </w:p>
          <w:p>
            <w:pPr>
              <w:pStyle w:val="1046"/>
              <w:jc w:val="both"/>
              <w:spacing w:after="0" w:afterAutospacing="0" w:before="0" w:beforeAutospacing="0"/>
              <w:rPr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</w:t>
            </w:r>
            <w:r>
              <w:rPr>
                <w:rStyle w:val="1047"/>
                <w:sz w:val="28"/>
                <w:szCs w:val="28"/>
                <w:shd w:val="clear" w:fill="FFFFFF" w:color="auto"/>
                <w:lang w:val="uk-UA"/>
              </w:rPr>
              <w:t xml:space="preserve"> «Про охорону дитинства»,</w:t>
            </w:r>
            <w:r/>
          </w:p>
          <w:p>
            <w:pPr>
              <w:pStyle w:val="1046"/>
              <w:jc w:val="both"/>
              <w:spacing w:after="0" w:afterAutospacing="0" w:before="0" w:beforeAutospacing="0"/>
              <w:rPr>
                <w:bCs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«</w:t>
            </w:r>
            <w:r>
              <w:rPr>
                <w:bCs/>
                <w:sz w:val="28"/>
                <w:szCs w:val="28"/>
                <w:shd w:val="clear" w:fill="FFFFFF" w:color="auto"/>
                <w:lang w:val="uk-UA"/>
              </w:rPr>
              <w:t xml:space="preserve">Про основні засади соціального захисту ветеранів праці та інших громадян похилого віку в Україні</w:t>
            </w:r>
            <w:r>
              <w:rPr>
                <w:sz w:val="28"/>
                <w:szCs w:val="28"/>
                <w:lang w:val="uk-UA"/>
              </w:rPr>
              <w:t xml:space="preserve">»,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shd w:val="clear" w:fill="FFFFFF" w:color="auto"/>
              </w:rPr>
              <w:t xml:space="preserve">інші нормативно-правові акти.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textDirection w:val="lrTb"/>
            <w:noWrap/>
          </w:tcPr>
          <w:p>
            <w:pPr>
              <w:pStyle w:val="1046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9" w:type="dxa"/>
            <w:textDirection w:val="lrTb"/>
            <w:noWrap/>
          </w:tcPr>
          <w:p>
            <w:pPr>
              <w:pStyle w:val="1046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Розробник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10" w:type="dxa"/>
            <w:textDirection w:val="lrTb"/>
            <w:noWrap/>
          </w:tcPr>
          <w:p>
            <w:pPr>
              <w:pStyle w:val="8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 соціального захисту населення, сім’ї, молоді та охорони здоров’я Менської міської ради</w:t>
            </w:r>
            <w:r/>
          </w:p>
          <w:p>
            <w:pPr>
              <w:pStyle w:val="8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textDirection w:val="lrTb"/>
            <w:noWrap/>
          </w:tcPr>
          <w:p>
            <w:pPr>
              <w:pStyle w:val="1046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9" w:type="dxa"/>
            <w:textDirection w:val="lrTb"/>
            <w:noWrap/>
          </w:tcPr>
          <w:p>
            <w:pPr>
              <w:pStyle w:val="1046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Відповідальний виконавець та розпорядник коштів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10" w:type="dxa"/>
            <w:textDirection w:val="lrTb"/>
            <w:noWrap/>
          </w:tcPr>
          <w:p>
            <w:pPr>
              <w:pStyle w:val="1046"/>
              <w:jc w:val="both"/>
              <w:spacing w:after="0" w:afterAutospacing="0" w:before="0" w:before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Менська міська рада, Акціонерне товариство «Укртелеком»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(далі - </w:t>
            </w:r>
            <w:r>
              <w:rPr>
                <w:sz w:val="28"/>
                <w:szCs w:val="28"/>
                <w:lang w:val="uk-UA"/>
              </w:rPr>
              <w:t xml:space="preserve">АТ «Укртелеком»</w:t>
            </w:r>
            <w:r>
              <w:rPr>
                <w:bCs/>
                <w:sz w:val="28"/>
                <w:szCs w:val="28"/>
                <w:lang w:val="uk-UA"/>
              </w:rPr>
              <w:t xml:space="preserve">), Акціонерне товариство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«</w:t>
            </w:r>
            <w:r>
              <w:rPr>
                <w:bCs/>
                <w:sz w:val="28"/>
                <w:szCs w:val="28"/>
                <w:shd w:val="clear" w:fill="FFFFFF" w:color="auto"/>
                <w:lang w:val="uk-UA"/>
              </w:rPr>
              <w:t xml:space="preserve">Українська залізниця</w:t>
            </w:r>
            <w:r>
              <w:rPr>
                <w:sz w:val="28"/>
                <w:szCs w:val="28"/>
                <w:lang w:val="uk-UA"/>
              </w:rPr>
              <w:t xml:space="preserve">»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(далі - </w:t>
            </w:r>
            <w:r>
              <w:rPr>
                <w:sz w:val="28"/>
                <w:szCs w:val="28"/>
                <w:lang w:val="uk-UA"/>
              </w:rPr>
              <w:t xml:space="preserve">АТ «Укрзалізниця»</w:t>
            </w:r>
            <w:r>
              <w:rPr>
                <w:bCs/>
                <w:sz w:val="28"/>
                <w:szCs w:val="28"/>
                <w:lang w:val="uk-UA"/>
              </w:rPr>
              <w:t xml:space="preserve">)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відповідно та в межах </w:t>
            </w:r>
            <w:r>
              <w:rPr>
                <w:bCs/>
                <w:sz w:val="28"/>
                <w:szCs w:val="28"/>
                <w:lang w:val="uk-UA"/>
              </w:rPr>
              <w:t xml:space="preserve">укладених Договорів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textDirection w:val="lrTb"/>
            <w:noWrap/>
          </w:tcPr>
          <w:p>
            <w:pPr>
              <w:pStyle w:val="1046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9" w:type="dxa"/>
            <w:textDirection w:val="lrTb"/>
            <w:noWrap/>
          </w:tcPr>
          <w:p>
            <w:pPr>
              <w:pStyle w:val="1046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Учасники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10" w:type="dxa"/>
            <w:textDirection w:val="lrTb"/>
            <w:noWrap/>
          </w:tcPr>
          <w:p>
            <w:pPr>
              <w:pStyle w:val="1046"/>
              <w:jc w:val="both"/>
              <w:spacing w:after="0" w:afterAutospacing="0" w:before="0" w:before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Менська міська рада, АТ «Укртелеком»</w:t>
            </w:r>
            <w:r>
              <w:rPr>
                <w:bCs/>
                <w:sz w:val="28"/>
                <w:szCs w:val="28"/>
                <w:lang w:val="uk-UA"/>
              </w:rPr>
              <w:t xml:space="preserve">,</w:t>
            </w:r>
            <w:r>
              <w:rPr>
                <w:sz w:val="28"/>
                <w:szCs w:val="28"/>
                <w:lang w:val="uk-UA"/>
              </w:rPr>
              <w:t xml:space="preserve"> АТ «Укрзалізниця»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textDirection w:val="lrTb"/>
            <w:noWrap/>
          </w:tcPr>
          <w:p>
            <w:pPr>
              <w:pStyle w:val="1046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9" w:type="dxa"/>
            <w:textDirection w:val="lrTb"/>
            <w:noWrap/>
          </w:tcPr>
          <w:p>
            <w:pPr>
              <w:pStyle w:val="1046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Термін реалізації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10" w:type="dxa"/>
            <w:textDirection w:val="lrTb"/>
            <w:noWrap/>
          </w:tcPr>
          <w:p>
            <w:pPr>
              <w:pStyle w:val="103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2022-2024 роки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textDirection w:val="lrTb"/>
            <w:noWrap/>
          </w:tcPr>
          <w:p>
            <w:pPr>
              <w:pStyle w:val="1046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9" w:type="dxa"/>
            <w:textDirection w:val="lrTb"/>
            <w:noWrap/>
          </w:tcPr>
          <w:p>
            <w:pPr>
              <w:pStyle w:val="1046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Перелік бюджетів, які беруть участь у виконанні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10" w:type="dxa"/>
            <w:textDirection w:val="lrTb"/>
            <w:noWrap/>
          </w:tcPr>
          <w:p>
            <w:pPr>
              <w:pStyle w:val="1046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Бюджет Менської міської територіальної громади</w:t>
            </w:r>
            <w:r/>
          </w:p>
        </w:tc>
      </w:tr>
      <w:tr>
        <w:trPr>
          <w:trHeight w:val="108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720" w:type="dxa"/>
            <w:textDirection w:val="lrTb"/>
            <w:noWrap/>
          </w:tcPr>
          <w:p>
            <w:pPr>
              <w:pStyle w:val="1046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49" w:type="dxa"/>
            <w:textDirection w:val="lrTb"/>
            <w:noWrap/>
          </w:tcPr>
          <w:p>
            <w:pPr>
              <w:pStyle w:val="103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10" w:type="dxa"/>
            <w:textDirection w:val="lrTb"/>
            <w:noWrap/>
          </w:tcPr>
          <w:p>
            <w:pPr>
              <w:pStyle w:val="103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Всього - </w:t>
            </w:r>
            <w:r>
              <w:rPr>
                <w:sz w:val="28"/>
                <w:szCs w:val="28"/>
                <w:lang w:val="uk-UA"/>
              </w:rPr>
              <w:t xml:space="preserve">670</w:t>
            </w:r>
            <w:r>
              <w:rPr>
                <w:sz w:val="28"/>
                <w:szCs w:val="28"/>
                <w:lang w:val="uk-UA"/>
              </w:rPr>
              <w:t xml:space="preserve">,0 тис. грн.</w:t>
            </w:r>
            <w:r/>
          </w:p>
          <w:p>
            <w:pPr>
              <w:pStyle w:val="103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тому числі</w:t>
            </w:r>
            <w:r/>
          </w:p>
          <w:p>
            <w:pPr>
              <w:pStyle w:val="103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2022 рік – </w:t>
            </w:r>
            <w:r>
              <w:rPr>
                <w:sz w:val="28"/>
                <w:szCs w:val="28"/>
                <w:lang w:val="uk-UA"/>
              </w:rPr>
              <w:t xml:space="preserve">0,00</w:t>
            </w:r>
            <w:r>
              <w:rPr>
                <w:sz w:val="28"/>
                <w:szCs w:val="28"/>
                <w:lang w:val="uk-UA"/>
              </w:rPr>
              <w:t xml:space="preserve"> тис. грн.</w:t>
            </w:r>
            <w:r/>
          </w:p>
          <w:p>
            <w:pPr>
              <w:pStyle w:val="103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2023 рік - </w:t>
            </w:r>
            <w:r>
              <w:rPr>
                <w:sz w:val="28"/>
                <w:szCs w:val="28"/>
                <w:lang w:val="uk-UA"/>
              </w:rPr>
              <w:t xml:space="preserve">420</w:t>
            </w:r>
            <w:r>
              <w:rPr>
                <w:sz w:val="28"/>
                <w:szCs w:val="28"/>
                <w:lang w:val="uk-UA"/>
              </w:rPr>
              <w:t xml:space="preserve">,0 тис. грн.</w:t>
            </w:r>
            <w:r/>
          </w:p>
          <w:p>
            <w:pPr>
              <w:pStyle w:val="103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2024 рік - 2</w:t>
            </w:r>
            <w:r>
              <w:rPr>
                <w:sz w:val="28"/>
                <w:szCs w:val="28"/>
                <w:lang w:val="uk-UA"/>
              </w:rPr>
              <w:t xml:space="preserve">5</w:t>
            </w:r>
            <w:r>
              <w:rPr>
                <w:sz w:val="28"/>
                <w:szCs w:val="28"/>
                <w:lang w:val="uk-UA"/>
              </w:rPr>
              <w:t xml:space="preserve">0,0 тис. грн.</w:t>
            </w:r>
            <w:r/>
          </w:p>
          <w:p>
            <w:pPr>
              <w:pStyle w:val="103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</w:tbl>
    <w:p>
      <w:pPr>
        <w:pStyle w:val="103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036"/>
        <w:numPr>
          <w:ilvl w:val="0"/>
          <w:numId w:val="18"/>
        </w:numPr>
        <w:contextualSpacing w:val="true"/>
        <w:ind w:left="0" w:firstLine="567"/>
        <w:jc w:val="center"/>
        <w:shd w:val="clear" w:fill="FFFFFF" w:color="auto"/>
        <w:rPr>
          <w:rStyle w:val="1045"/>
          <w:rFonts w:eastAsia="Arial"/>
          <w:sz w:val="28"/>
          <w:szCs w:val="28"/>
          <w:shd w:val="clear" w:fill="FFFFFF" w:color="auto"/>
          <w:lang w:val="uk-UA"/>
        </w:rPr>
      </w:pPr>
      <w:r>
        <w:rPr>
          <w:rStyle w:val="1045"/>
          <w:rFonts w:eastAsia="Arial"/>
          <w:sz w:val="28"/>
          <w:szCs w:val="28"/>
          <w:shd w:val="clear" w:fill="FFFFFF" w:color="auto"/>
          <w:lang w:val="uk-UA"/>
        </w:rPr>
        <w:t xml:space="preserve">Визначення проблеми, </w:t>
      </w:r>
      <w:r/>
    </w:p>
    <w:p>
      <w:pPr>
        <w:pStyle w:val="1036"/>
        <w:contextualSpacing w:val="true"/>
        <w:ind w:left="567"/>
        <w:jc w:val="center"/>
        <w:shd w:val="clear" w:fill="FFFFFF" w:color="auto"/>
        <w:rPr>
          <w:rStyle w:val="1045"/>
          <w:rFonts w:eastAsia="Arial"/>
          <w:sz w:val="28"/>
          <w:szCs w:val="28"/>
          <w:lang w:val="uk-UA"/>
        </w:rPr>
      </w:pPr>
      <w:r>
        <w:rPr>
          <w:rStyle w:val="1045"/>
          <w:rFonts w:eastAsia="Arial"/>
          <w:sz w:val="28"/>
          <w:szCs w:val="28"/>
          <w:shd w:val="clear" w:fill="FFFFFF" w:color="auto"/>
          <w:lang w:val="uk-UA"/>
        </w:rPr>
        <w:t xml:space="preserve">на розв’язання якої спрямована Програма</w:t>
      </w:r>
      <w:r/>
    </w:p>
    <w:p>
      <w:pPr>
        <w:pStyle w:val="1036"/>
        <w:contextualSpacing w:val="true"/>
        <w:ind w:firstLine="567"/>
        <w:jc w:val="both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соціального захисту окремих категорій населення, створення умов для реалізації наданих їм державою пільг з послуг зв’язку та пільгового проїзду,  врегулювання механізму компенсаційних виплат за надання таких послуг розроблено  Програму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відшкодування пільг з послуг зв’язку </w:t>
      </w:r>
      <w:r>
        <w:rPr>
          <w:bCs/>
          <w:sz w:val="28"/>
          <w:szCs w:val="28"/>
          <w:lang w:val="uk-UA"/>
        </w:rPr>
        <w:t xml:space="preserve">та компенсаційних виплат за пільговий проїзд залізничним транспортом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жителів</w:t>
      </w:r>
      <w:r>
        <w:rPr>
          <w:sz w:val="28"/>
          <w:szCs w:val="28"/>
          <w:lang w:val="uk-UA"/>
        </w:rPr>
        <w:t xml:space="preserve"> Менської міської територіальної громади, на 202</w:t>
      </w:r>
      <w:r>
        <w:rPr>
          <w:bCs/>
          <w:sz w:val="28"/>
          <w:szCs w:val="28"/>
          <w:lang w:val="uk-UA"/>
        </w:rPr>
        <w:t xml:space="preserve">2</w:t>
      </w:r>
      <w:r>
        <w:rPr>
          <w:bCs/>
          <w:lang w:val="uk-UA"/>
        </w:rPr>
        <w:t xml:space="preserve">-</w:t>
      </w:r>
      <w:r>
        <w:rPr>
          <w:bCs/>
          <w:sz w:val="28"/>
          <w:szCs w:val="28"/>
          <w:lang w:val="uk-UA"/>
        </w:rPr>
        <w:t xml:space="preserve">2024</w:t>
      </w:r>
      <w:r>
        <w:rPr>
          <w:sz w:val="28"/>
          <w:szCs w:val="28"/>
          <w:lang w:val="uk-UA"/>
        </w:rPr>
        <w:t xml:space="preserve"> р</w:t>
      </w:r>
      <w:r>
        <w:rPr>
          <w:bCs/>
          <w:sz w:val="28"/>
          <w:szCs w:val="28"/>
          <w:lang w:val="uk-UA"/>
        </w:rPr>
        <w:t xml:space="preserve">оки</w:t>
      </w:r>
      <w:r>
        <w:rPr>
          <w:sz w:val="28"/>
          <w:szCs w:val="28"/>
          <w:lang w:val="uk-UA"/>
        </w:rPr>
        <w:t xml:space="preserve">(далі - Програма).</w:t>
      </w:r>
      <w:r/>
    </w:p>
    <w:p>
      <w:pPr>
        <w:pStyle w:val="1068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</w:t>
      </w:r>
      <w:r>
        <w:rPr>
          <w:sz w:val="28"/>
          <w:szCs w:val="28"/>
          <w:lang w:val="uk-UA"/>
        </w:rPr>
        <w:t xml:space="preserve">ограма розроблена відповідно до ст. 91 Бюджетного кодексу України, Закону України «Про місцеве самоврядування в Україні», Закону України «Про статус ветеранів війни, гарантії їх соціального захисту», Закону України «Про статус ветеранів військової служби, </w:t>
      </w:r>
      <w:r>
        <w:rPr>
          <w:bCs/>
          <w:sz w:val="28"/>
          <w:szCs w:val="28"/>
          <w:lang w:val="uk-UA"/>
        </w:rPr>
        <w:t xml:space="preserve">ветеранів органів внутрішніх справ, ветеранів Національної поліції і деяких інших осіб та їх соціальний захист</w:t>
      </w:r>
      <w:r>
        <w:rPr>
          <w:sz w:val="28"/>
          <w:szCs w:val="28"/>
          <w:lang w:val="uk-UA"/>
        </w:rPr>
        <w:t xml:space="preserve">», Закону України «Про соціальний і правовий захист військовослужбовців та членів їх сімей», Закону України «Про охорону дитинства», Закону України «Про основи соціальної зах</w:t>
      </w:r>
      <w:r>
        <w:rPr>
          <w:sz w:val="28"/>
          <w:szCs w:val="28"/>
          <w:lang w:val="uk-UA"/>
        </w:rPr>
        <w:t xml:space="preserve">ищеності осіб з інвалідністю в Україні», Закону України «Про статус і соціальний захист громадян, які постраждали внаслідок Чорнобильської катастрофи», Закону України «Про реабілітацію жертв політичних репресій на Україні», інших нормативно-правових актів.</w:t>
      </w:r>
      <w:r/>
    </w:p>
    <w:p>
      <w:pPr>
        <w:pStyle w:val="1068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Дана Програма спрямована на </w:t>
      </w:r>
      <w:r>
        <w:rPr>
          <w:sz w:val="28"/>
          <w:szCs w:val="28"/>
          <w:lang w:val="uk-UA"/>
        </w:rPr>
        <w:t xml:space="preserve">відшкодування наданих пільг з оплати послуг зв’язку</w:t>
      </w:r>
      <w:r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</w:rPr>
        <w:t xml:space="preserve"> компенсації за пільговий проїзд </w:t>
      </w:r>
      <w:r>
        <w:rPr>
          <w:sz w:val="28"/>
          <w:szCs w:val="28"/>
          <w:lang w:val="uk-UA"/>
        </w:rPr>
        <w:t xml:space="preserve">мешканців громади залізничним транспортом </w:t>
      </w:r>
      <w:r>
        <w:rPr>
          <w:sz w:val="28"/>
          <w:szCs w:val="28"/>
        </w:rPr>
        <w:t xml:space="preserve">на приміському сполученні відповідно до діючого законодавства України.</w:t>
      </w:r>
      <w:r/>
    </w:p>
    <w:p>
      <w:pPr>
        <w:pStyle w:val="88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Вжиття системних заходів щодо соціальної підтримки пільгових категорій громадян, зокрема, фінансування пільг дозволить підняти рівень соціальної захищеності окремих категорій громадян.</w:t>
      </w:r>
      <w:r/>
    </w:p>
    <w:p>
      <w:pPr>
        <w:pStyle w:val="1036"/>
        <w:contextualSpacing w:val="true"/>
        <w:ind w:firstLine="748"/>
        <w:jc w:val="both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83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3.Мета Програми</w:t>
      </w:r>
      <w:r/>
    </w:p>
    <w:p>
      <w:pPr>
        <w:pStyle w:val="88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Метою Програми є забезпечення конституційних гарантій на соціальний захист пільгових категорій, що проживають на території Менської міської територіальної громади, покращення становища соціально вразливих верств населення.</w:t>
      </w:r>
      <w:r/>
    </w:p>
    <w:p>
      <w:pPr>
        <w:pStyle w:val="88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Головною метою Програми є реалізація державної політики в галузі соціального захисту окремих пільгових категорій громадян шляхом фінансування пільг з послуг зв’язку окремим категоріям громадян 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здійснення компенсації за пільговий проїзд залізничним транспортом на приміських маршрутах </w:t>
      </w:r>
      <w:r>
        <w:rPr>
          <w:sz w:val="28"/>
          <w:szCs w:val="28"/>
        </w:rPr>
        <w:t xml:space="preserve">окремих категорій громадян</w:t>
      </w:r>
      <w:r>
        <w:rPr>
          <w:sz w:val="28"/>
          <w:szCs w:val="28"/>
        </w:rPr>
        <w:t xml:space="preserve">.</w:t>
      </w:r>
      <w:r/>
    </w:p>
    <w:p>
      <w:pPr>
        <w:pStyle w:val="883"/>
        <w:ind w:firstLine="56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3"/>
        <w:ind w:firstLine="567"/>
        <w:jc w:val="center"/>
        <w:rPr>
          <w:rStyle w:val="1045"/>
          <w:rFonts w:eastAsia="Arial"/>
          <w:sz w:val="28"/>
          <w:szCs w:val="28"/>
        </w:rPr>
      </w:pPr>
      <w:r>
        <w:rPr>
          <w:rStyle w:val="1045"/>
          <w:rFonts w:eastAsia="Arial"/>
          <w:bCs w:val="false"/>
          <w:sz w:val="28"/>
          <w:szCs w:val="28"/>
        </w:rPr>
        <w:t xml:space="preserve">4. Обґрунтування шляхів і засобів розв’язання проблеми, </w:t>
      </w:r>
      <w:r/>
    </w:p>
    <w:p>
      <w:pPr>
        <w:pStyle w:val="883"/>
        <w:ind w:firstLine="567"/>
        <w:jc w:val="center"/>
        <w:rPr>
          <w:sz w:val="28"/>
          <w:szCs w:val="28"/>
        </w:rPr>
      </w:pPr>
      <w:r>
        <w:rPr>
          <w:rStyle w:val="1045"/>
          <w:rFonts w:eastAsia="Arial"/>
          <w:bCs w:val="false"/>
          <w:sz w:val="28"/>
          <w:szCs w:val="28"/>
        </w:rPr>
        <w:t xml:space="preserve"> строки виконання</w:t>
      </w:r>
      <w:r/>
    </w:p>
    <w:p>
      <w:pPr>
        <w:pStyle w:val="88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вирішення даної проблеми, керуючись законодавством України, розроблені заходи, спрямовані на фінансування пільг з послуг зв’язку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компенсації за пільговий проїзд окремих категорій громадян.</w:t>
      </w:r>
      <w:r/>
    </w:p>
    <w:p>
      <w:pPr>
        <w:pStyle w:val="88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Фінансування Програми здійснюється у межах фактичних коштів, передбачених у місцевому бюджеті 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зв’язку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відсутністю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фінансування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державного бюджету. </w:t>
      </w:r>
      <w:r/>
    </w:p>
    <w:p>
      <w:pPr>
        <w:pStyle w:val="88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Програма розрахована на 2022-2024 роки.</w:t>
      </w:r>
      <w:r/>
    </w:p>
    <w:p>
      <w:pPr>
        <w:pStyle w:val="1036"/>
        <w:ind w:firstLine="748"/>
        <w:jc w:val="both"/>
        <w:tabs>
          <w:tab w:val="left" w:pos="18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3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5.Завдання Програми, обсяги та джерела фінансу</w:t>
      </w:r>
      <w:r>
        <w:rPr>
          <w:b/>
          <w:sz w:val="28"/>
          <w:szCs w:val="28"/>
        </w:rPr>
        <w:t xml:space="preserve">вання</w:t>
      </w:r>
      <w:r/>
    </w:p>
    <w:p>
      <w:pPr>
        <w:pStyle w:val="88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завданнями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є:</w:t>
      </w:r>
      <w:r/>
    </w:p>
    <w:p>
      <w:pPr>
        <w:pStyle w:val="88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забезпечення права на пільговий проїзд залізничним транспортом  окремих категорій громадян 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здійснення відшкодування підприємствам-перевізникам </w:t>
      </w:r>
      <w:r>
        <w:rPr>
          <w:sz w:val="28"/>
          <w:szCs w:val="28"/>
        </w:rPr>
        <w:t xml:space="preserve">поне</w:t>
      </w:r>
      <w:r>
        <w:rPr>
          <w:sz w:val="28"/>
          <w:szCs w:val="28"/>
        </w:rPr>
        <w:t xml:space="preserve">сених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фінансових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втрат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шляхом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компенсаційних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виплат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пільгове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перевезення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окремих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категорій громадян з місцевого бюджету в межах кошторисних призначень;</w:t>
      </w:r>
      <w:r/>
    </w:p>
    <w:p>
      <w:pPr>
        <w:pStyle w:val="88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зниження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соціальної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напруги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серед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жителів громади, які відносяться до відповідних пільгових категорій;</w:t>
      </w:r>
      <w:r/>
    </w:p>
    <w:p>
      <w:pPr>
        <w:pStyle w:val="88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посилення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цільовим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використанням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коштів;</w:t>
      </w:r>
      <w:r/>
    </w:p>
    <w:p>
      <w:pPr>
        <w:pStyle w:val="88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-забезпечення</w:t>
      </w:r>
      <w:r>
        <w:rPr>
          <w:spacing w:val="1"/>
          <w:sz w:val="28"/>
          <w:szCs w:val="28"/>
        </w:rPr>
        <w:t xml:space="preserve"> відшкодування наданих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пільг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зв'язку</w:t>
      </w:r>
      <w:r>
        <w:rPr>
          <w:spacing w:val="1"/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передбачених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чинним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законодавством України;</w:t>
      </w:r>
      <w:r/>
    </w:p>
    <w:p>
      <w:pPr>
        <w:pStyle w:val="88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-впорядкування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механізму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відшкодування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втрат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підприємствам-надавачам послуг </w:t>
      </w:r>
      <w:r>
        <w:rPr>
          <w:sz w:val="28"/>
          <w:szCs w:val="28"/>
        </w:rPr>
        <w:t xml:space="preserve">зв’язку та </w:t>
      </w:r>
      <w:r>
        <w:rPr>
          <w:sz w:val="28"/>
          <w:szCs w:val="28"/>
        </w:rPr>
        <w:t xml:space="preserve"> перевезення передба</w:t>
      </w:r>
      <w:r>
        <w:rPr>
          <w:sz w:val="28"/>
          <w:szCs w:val="28"/>
        </w:rPr>
        <w:t xml:space="preserve">чені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чинним</w:t>
      </w:r>
      <w:r>
        <w:rPr>
          <w:sz w:val="28"/>
          <w:szCs w:val="28"/>
        </w:rPr>
        <w:t xml:space="preserve"> законодавством </w:t>
      </w:r>
      <w:r>
        <w:rPr>
          <w:sz w:val="28"/>
          <w:szCs w:val="28"/>
        </w:rPr>
        <w:t xml:space="preserve">України;</w:t>
      </w:r>
      <w:r/>
    </w:p>
    <w:p>
      <w:pPr>
        <w:pStyle w:val="88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виконання судових рішень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відшкодування наданих пільг з послуг зв’язку за 2022 рік.</w:t>
      </w:r>
      <w:r/>
    </w:p>
    <w:p>
      <w:pPr>
        <w:pStyle w:val="88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Обсяг фінансування визначається під час формування бюджету з урахуванням його фінансових можливостей та може змінюватись в процесі виконання при внесенні змін до нього</w:t>
      </w:r>
      <w:r>
        <w:t xml:space="preserve">.</w:t>
      </w:r>
      <w:r/>
    </w:p>
    <w:p>
      <w:pPr>
        <w:pStyle w:val="883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Відшкодування витрат за надані послуги  пільговим категоріям населення здійснюється </w:t>
      </w:r>
      <w:r>
        <w:rPr>
          <w:color w:val="000000" w:themeColor="text1"/>
          <w:sz w:val="28"/>
          <w:szCs w:val="28"/>
        </w:rPr>
        <w:t xml:space="preserve">з </w:t>
      </w:r>
      <w:r>
        <w:rPr>
          <w:sz w:val="28"/>
          <w:szCs w:val="28"/>
        </w:rPr>
        <w:t xml:space="preserve">бюджету Менської міської територіальної громади</w:t>
      </w:r>
      <w:r>
        <w:rPr>
          <w:color w:val="000000"/>
          <w:sz w:val="28"/>
          <w:szCs w:val="28"/>
        </w:rPr>
        <w:t xml:space="preserve"> у разі </w:t>
      </w:r>
      <w:r>
        <w:rPr>
          <w:color w:val="000000"/>
          <w:sz w:val="28"/>
          <w:szCs w:val="28"/>
        </w:rPr>
        <w:br/>
        <w:t xml:space="preserve">відсутності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фінансування з Державного бюджету України.</w:t>
      </w:r>
      <w:r/>
    </w:p>
    <w:p>
      <w:pPr>
        <w:pStyle w:val="88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3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6. Ресурсне забезпечення Програми</w:t>
      </w:r>
      <w:r/>
    </w:p>
    <w:p>
      <w:pPr>
        <w:pStyle w:val="883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 xml:space="preserve">тис. грн.</w:t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1573"/>
        <w:gridCol w:w="2113"/>
        <w:gridCol w:w="1560"/>
        <w:gridCol w:w="1417"/>
      </w:tblGrid>
      <w:tr>
        <w:trPr>
          <w:trHeight w:val="690"/>
        </w:trPr>
        <w:tc>
          <w:tcPr>
            <w:tcW w:w="2801" w:type="dxa"/>
            <w:vMerge w:val="restart"/>
            <w:textDirection w:val="lrTb"/>
            <w:noWrap/>
          </w:tcPr>
          <w:p>
            <w:pPr>
              <w:pStyle w:val="883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Обсяг коштів, які пропонується залучати на виконання Програми</w:t>
            </w:r>
            <w:r/>
          </w:p>
        </w:tc>
        <w:tc>
          <w:tcPr>
            <w:gridSpan w:val="3"/>
            <w:tcW w:w="5246" w:type="dxa"/>
            <w:textDirection w:val="lrTb"/>
            <w:noWrap/>
          </w:tcPr>
          <w:p>
            <w:pPr>
              <w:pStyle w:val="883"/>
              <w:ind w:firstLine="567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Етапи виконання Програми</w:t>
            </w:r>
            <w:r/>
          </w:p>
        </w:tc>
        <w:tc>
          <w:tcPr>
            <w:tcW w:w="1417" w:type="dxa"/>
            <w:vMerge w:val="restart"/>
            <w:textDirection w:val="lrTb"/>
            <w:noWrap/>
          </w:tcPr>
          <w:p>
            <w:pPr>
              <w:pStyle w:val="883"/>
              <w:ind w:firstLine="24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Усього витрат на фінансування Програми</w:t>
            </w:r>
            <w:r/>
          </w:p>
        </w:tc>
      </w:tr>
      <w:tr>
        <w:trPr>
          <w:trHeight w:val="669"/>
        </w:trPr>
        <w:tc>
          <w:tcPr>
            <w:tcW w:w="2801" w:type="dxa"/>
            <w:vMerge w:val="continue"/>
            <w:textDirection w:val="lrTb"/>
            <w:noWrap/>
          </w:tcPr>
          <w:p>
            <w:pPr>
              <w:pStyle w:val="8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573" w:type="dxa"/>
            <w:textDirection w:val="lrTb"/>
            <w:noWrap/>
          </w:tcPr>
          <w:p>
            <w:pPr>
              <w:pStyle w:val="883"/>
              <w:ind w:right="-98" w:firstLine="2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20</w:t>
            </w:r>
            <w:r>
              <w:rPr>
                <w:b/>
                <w:sz w:val="24"/>
                <w:szCs w:val="28"/>
                <w:lang w:val="en-US"/>
              </w:rPr>
              <w:t xml:space="preserve">2</w:t>
            </w:r>
            <w:r>
              <w:rPr>
                <w:b/>
                <w:sz w:val="24"/>
                <w:szCs w:val="28"/>
              </w:rPr>
              <w:t xml:space="preserve">2 рік</w:t>
            </w:r>
            <w:r/>
          </w:p>
        </w:tc>
        <w:tc>
          <w:tcPr>
            <w:tcW w:w="2113" w:type="dxa"/>
            <w:textDirection w:val="lrTb"/>
            <w:noWrap/>
          </w:tcPr>
          <w:p>
            <w:pPr>
              <w:pStyle w:val="883"/>
              <w:ind w:right="-98" w:firstLine="34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20</w:t>
            </w:r>
            <w:r>
              <w:rPr>
                <w:b/>
                <w:sz w:val="24"/>
                <w:szCs w:val="28"/>
                <w:lang w:val="en-US"/>
              </w:rPr>
              <w:t xml:space="preserve">2</w:t>
            </w:r>
            <w:r>
              <w:rPr>
                <w:b/>
                <w:sz w:val="24"/>
                <w:szCs w:val="28"/>
              </w:rPr>
              <w:t xml:space="preserve">3 рік</w:t>
            </w:r>
            <w:r/>
          </w:p>
        </w:tc>
        <w:tc>
          <w:tcPr>
            <w:tcW w:w="1560" w:type="dxa"/>
            <w:textDirection w:val="lrTb"/>
            <w:noWrap/>
          </w:tcPr>
          <w:p>
            <w:pPr>
              <w:pStyle w:val="883"/>
              <w:ind w:right="-98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20</w:t>
            </w:r>
            <w:r>
              <w:rPr>
                <w:b/>
                <w:sz w:val="24"/>
                <w:szCs w:val="28"/>
                <w:lang w:val="en-US"/>
              </w:rPr>
              <w:t xml:space="preserve">2</w:t>
            </w:r>
            <w:r>
              <w:rPr>
                <w:b/>
                <w:sz w:val="24"/>
                <w:szCs w:val="28"/>
              </w:rPr>
              <w:t xml:space="preserve">4 рік</w:t>
            </w:r>
            <w:r/>
          </w:p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W w:w="1417" w:type="dxa"/>
            <w:vMerge w:val="continue"/>
            <w:textDirection w:val="lrTb"/>
            <w:noWrap/>
          </w:tcPr>
          <w:p>
            <w:pPr>
              <w:pStyle w:val="883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2801" w:type="dxa"/>
            <w:textDirection w:val="lrTb"/>
            <w:noWrap/>
          </w:tcPr>
          <w:p>
            <w:pPr>
              <w:pStyle w:val="88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Обсяг ресурсів, усього, у тому числі:</w:t>
            </w:r>
            <w:r/>
          </w:p>
        </w:tc>
        <w:tc>
          <w:tcPr>
            <w:tcW w:w="1573" w:type="dxa"/>
            <w:textDirection w:val="lrTb"/>
            <w:noWrap/>
          </w:tcPr>
          <w:p>
            <w:pPr>
              <w:pStyle w:val="883"/>
              <w:ind w:right="-98" w:firstLine="2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0,00</w:t>
            </w:r>
            <w:r/>
          </w:p>
        </w:tc>
        <w:tc>
          <w:tcPr>
            <w:tcW w:w="2113" w:type="dxa"/>
            <w:textDirection w:val="lrTb"/>
            <w:noWrap/>
          </w:tcPr>
          <w:p>
            <w:pPr>
              <w:pStyle w:val="883"/>
              <w:ind w:right="-98" w:firstLine="34"/>
              <w:rPr>
                <w:color w:val="FF0000"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4</w:t>
            </w:r>
            <w:r>
              <w:rPr>
                <w:sz w:val="24"/>
                <w:szCs w:val="28"/>
              </w:rPr>
              <w:t xml:space="preserve">20,00</w:t>
            </w:r>
            <w:r>
              <w:rPr>
                <w:sz w:val="24"/>
                <w:szCs w:val="28"/>
              </w:rPr>
              <w:t xml:space="preserve"> в т.ч. виконання судових рішень </w:t>
            </w:r>
            <w:r>
              <w:rPr>
                <w:sz w:val="24"/>
                <w:szCs w:val="28"/>
              </w:rPr>
              <w:t xml:space="preserve">за надані пільги з послуг зв’язку у 2022 році</w:t>
            </w:r>
            <w:r/>
          </w:p>
        </w:tc>
        <w:tc>
          <w:tcPr>
            <w:tcW w:w="1560" w:type="dxa"/>
            <w:textDirection w:val="lrTb"/>
            <w:noWrap/>
          </w:tcPr>
          <w:p>
            <w:pPr>
              <w:pStyle w:val="883"/>
              <w:ind w:right="-9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</w:t>
            </w:r>
            <w:r>
              <w:rPr>
                <w:sz w:val="24"/>
                <w:szCs w:val="28"/>
              </w:rPr>
              <w:t xml:space="preserve">5</w:t>
            </w:r>
            <w:r>
              <w:rPr>
                <w:sz w:val="24"/>
                <w:szCs w:val="28"/>
              </w:rPr>
              <w:t xml:space="preserve">0,0</w:t>
            </w:r>
            <w:r>
              <w:rPr>
                <w:sz w:val="24"/>
                <w:szCs w:val="28"/>
              </w:rPr>
              <w:t xml:space="preserve">0</w:t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pStyle w:val="883"/>
              <w:ind w:firstLine="33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 xml:space="preserve">6</w:t>
            </w:r>
            <w:r>
              <w:rPr>
                <w:sz w:val="24"/>
                <w:szCs w:val="28"/>
              </w:rPr>
              <w:t xml:space="preserve">70</w:t>
            </w:r>
            <w:r>
              <w:rPr>
                <w:sz w:val="24"/>
                <w:szCs w:val="28"/>
                <w:lang w:val="en-US"/>
              </w:rPr>
              <w:t xml:space="preserve">,00</w:t>
            </w:r>
            <w:r/>
          </w:p>
        </w:tc>
      </w:tr>
      <w:tr>
        <w:trPr/>
        <w:tc>
          <w:tcPr>
            <w:tcW w:w="2801" w:type="dxa"/>
            <w:textDirection w:val="lrTb"/>
            <w:noWrap/>
          </w:tcPr>
          <w:p>
            <w:pPr>
              <w:pStyle w:val="88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державний бюджет</w:t>
            </w:r>
            <w:r/>
          </w:p>
          <w:p>
            <w:pPr>
              <w:pStyle w:val="88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  <w:r/>
          </w:p>
        </w:tc>
        <w:tc>
          <w:tcPr>
            <w:tcW w:w="1573" w:type="dxa"/>
            <w:textDirection w:val="lrTb"/>
            <w:noWrap/>
          </w:tcPr>
          <w:p>
            <w:pPr>
              <w:pStyle w:val="883"/>
              <w:ind w:right="-98" w:firstLine="2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відповідно до визначених обсягів</w:t>
            </w:r>
            <w:r/>
          </w:p>
        </w:tc>
        <w:tc>
          <w:tcPr>
            <w:tcW w:w="2113" w:type="dxa"/>
            <w:textDirection w:val="lrTb"/>
            <w:noWrap/>
          </w:tcPr>
          <w:p>
            <w:pPr>
              <w:pStyle w:val="883"/>
              <w:ind w:right="-98" w:firstLine="3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відповідно до визначених обсягів</w:t>
            </w:r>
            <w:r/>
          </w:p>
        </w:tc>
        <w:tc>
          <w:tcPr>
            <w:tcW w:w="1560" w:type="dxa"/>
            <w:textDirection w:val="lrTb"/>
            <w:noWrap/>
          </w:tcPr>
          <w:p>
            <w:pPr>
              <w:rPr>
                <w:sz w:val="24"/>
              </w:rPr>
            </w:pPr>
            <w:r>
              <w:rPr>
                <w:sz w:val="24"/>
                <w:szCs w:val="28"/>
              </w:rPr>
              <w:t xml:space="preserve">відповідно до визначених обсягів</w:t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pStyle w:val="883"/>
              <w:ind w:firstLine="56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  <w:r/>
          </w:p>
        </w:tc>
      </w:tr>
      <w:tr>
        <w:trPr/>
        <w:tc>
          <w:tcPr>
            <w:tcW w:w="2801" w:type="dxa"/>
            <w:textDirection w:val="lrTb"/>
            <w:noWrap/>
          </w:tcPr>
          <w:p>
            <w:pPr>
              <w:pStyle w:val="88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бюджет Менської міської територіальної громади</w:t>
            </w:r>
            <w:r/>
          </w:p>
        </w:tc>
        <w:tc>
          <w:tcPr>
            <w:tcW w:w="1573" w:type="dxa"/>
            <w:textDirection w:val="lrTb"/>
            <w:noWrap/>
          </w:tcPr>
          <w:p>
            <w:pPr>
              <w:pStyle w:val="883"/>
              <w:ind w:right="-98" w:firstLine="2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0,00</w:t>
            </w:r>
            <w:r/>
          </w:p>
        </w:tc>
        <w:tc>
          <w:tcPr>
            <w:tcW w:w="2113" w:type="dxa"/>
            <w:textDirection w:val="lrTb"/>
            <w:noWrap/>
          </w:tcPr>
          <w:p>
            <w:pPr>
              <w:pStyle w:val="883"/>
              <w:ind w:right="-98" w:firstLine="34"/>
              <w:rPr>
                <w:color w:val="FF0000"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4</w:t>
            </w:r>
            <w:r>
              <w:rPr>
                <w:sz w:val="24"/>
                <w:szCs w:val="28"/>
              </w:rPr>
              <w:t xml:space="preserve">20,</w:t>
            </w:r>
            <w:r>
              <w:rPr>
                <w:sz w:val="24"/>
                <w:szCs w:val="28"/>
              </w:rPr>
              <w:t xml:space="preserve">00</w:t>
            </w:r>
            <w:r>
              <w:rPr>
                <w:color w:val="FF0000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в т.ч. викон</w:t>
            </w:r>
            <w:r>
              <w:rPr>
                <w:sz w:val="24"/>
                <w:szCs w:val="28"/>
              </w:rPr>
              <w:t xml:space="preserve">а</w:t>
            </w:r>
            <w:r>
              <w:rPr>
                <w:sz w:val="24"/>
                <w:szCs w:val="28"/>
              </w:rPr>
              <w:t xml:space="preserve">ння судових рішень</w:t>
            </w:r>
            <w:r>
              <w:rPr>
                <w:sz w:val="24"/>
                <w:szCs w:val="28"/>
              </w:rPr>
              <w:t xml:space="preserve"> за надані пільги з послуг зв’язку у 2022 році</w:t>
            </w:r>
            <w:r/>
          </w:p>
        </w:tc>
        <w:tc>
          <w:tcPr>
            <w:tcW w:w="1560" w:type="dxa"/>
            <w:textDirection w:val="lrTb"/>
            <w:noWrap/>
          </w:tcPr>
          <w:p>
            <w:pPr>
              <w:pStyle w:val="883"/>
              <w:ind w:right="-9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</w:t>
            </w:r>
            <w:r>
              <w:rPr>
                <w:sz w:val="24"/>
                <w:szCs w:val="28"/>
              </w:rPr>
              <w:t xml:space="preserve">5</w:t>
            </w:r>
            <w:r>
              <w:rPr>
                <w:sz w:val="24"/>
                <w:szCs w:val="28"/>
              </w:rPr>
              <w:t xml:space="preserve">0,0</w:t>
            </w:r>
            <w:r>
              <w:rPr>
                <w:sz w:val="24"/>
                <w:szCs w:val="28"/>
              </w:rPr>
              <w:t xml:space="preserve">0</w:t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417" w:type="dxa"/>
            <w:textDirection w:val="lrTb"/>
            <w:noWrap/>
          </w:tcPr>
          <w:p>
            <w:pPr>
              <w:pStyle w:val="883"/>
              <w:ind w:firstLine="33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 xml:space="preserve">6</w:t>
            </w:r>
            <w:r>
              <w:rPr>
                <w:sz w:val="24"/>
                <w:szCs w:val="28"/>
              </w:rPr>
              <w:t xml:space="preserve">70</w:t>
            </w:r>
            <w:r>
              <w:rPr>
                <w:sz w:val="24"/>
                <w:szCs w:val="28"/>
                <w:lang w:val="en-US"/>
              </w:rPr>
              <w:t xml:space="preserve">,00</w:t>
            </w:r>
            <w:r/>
          </w:p>
        </w:tc>
      </w:tr>
    </w:tbl>
    <w:p>
      <w:pPr>
        <w:pStyle w:val="1036"/>
        <w:jc w:val="both"/>
        <w:rPr>
          <w:color w:val="A6A6A6"/>
          <w:sz w:val="28"/>
          <w:szCs w:val="28"/>
          <w:lang w:val="uk-UA"/>
        </w:rPr>
      </w:pPr>
      <w:r>
        <w:rPr>
          <w:color w:val="A6A6A6"/>
          <w:sz w:val="28"/>
          <w:szCs w:val="28"/>
          <w:lang w:val="uk-UA"/>
        </w:rPr>
      </w:r>
      <w:r/>
    </w:p>
    <w:p>
      <w:pPr>
        <w:jc w:val="center"/>
        <w:rPr>
          <w:b/>
          <w:sz w:val="28"/>
          <w:szCs w:val="28"/>
        </w:rPr>
      </w:pPr>
      <w:r/>
      <w:bookmarkStart w:id="0" w:name="_Hlk57804794"/>
      <w:r>
        <w:rPr>
          <w:b/>
          <w:sz w:val="28"/>
          <w:szCs w:val="28"/>
        </w:rPr>
        <w:t xml:space="preserve">7. Напрями діяльності та заходи Програми</w:t>
      </w:r>
      <w:r/>
    </w:p>
    <w:p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 xml:space="preserve">тис. грн.</w:t>
      </w:r>
      <w:r/>
    </w:p>
    <w:tbl>
      <w:tblPr>
        <w:tblW w:w="97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6"/>
        <w:gridCol w:w="1418"/>
        <w:gridCol w:w="1559"/>
        <w:gridCol w:w="1158"/>
        <w:gridCol w:w="1111"/>
        <w:gridCol w:w="783"/>
        <w:gridCol w:w="1768"/>
        <w:gridCol w:w="709"/>
        <w:gridCol w:w="884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6" w:type="dxa"/>
            <w:vMerge w:val="restart"/>
            <w:textDirection w:val="lrTb"/>
            <w:noWrap/>
          </w:tcPr>
          <w:p>
            <w:pPr>
              <w:pStyle w:val="883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№ з/п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8" w:type="dxa"/>
            <w:vMerge w:val="restart"/>
            <w:textDirection w:val="lrTb"/>
            <w:noWrap/>
          </w:tcPr>
          <w:p>
            <w:pPr>
              <w:pStyle w:val="883"/>
              <w:ind w:left="-108" w:right="-108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Назва напряму діяльності (пріоритетні завдання)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59" w:type="dxa"/>
            <w:vMerge w:val="restart"/>
            <w:textDirection w:val="lrTb"/>
            <w:noWrap/>
          </w:tcPr>
          <w:p>
            <w:pPr>
              <w:pStyle w:val="883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Перелік заходів Програми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58" w:type="dxa"/>
            <w:vMerge w:val="restart"/>
            <w:textDirection w:val="lrTb"/>
            <w:noWrap/>
          </w:tcPr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Строк виконання заходу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11" w:type="dxa"/>
            <w:vMerge w:val="restart"/>
            <w:textDirection w:val="lrTb"/>
            <w:noWrap/>
          </w:tcPr>
          <w:p>
            <w:pPr>
              <w:ind w:right="-115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Джерела фінансування </w:t>
            </w:r>
            <w:r/>
          </w:p>
        </w:tc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4144" w:type="dxa"/>
            <w:textDirection w:val="lrTb"/>
            <w:noWrap/>
          </w:tcPr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Орієнтовні обсяги фінансування </w:t>
            </w:r>
            <w:r/>
          </w:p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у тому числі:</w:t>
            </w:r>
            <w:r/>
          </w:p>
        </w:tc>
      </w:tr>
      <w:tr>
        <w:trPr>
          <w:trHeight w:val="133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6" w:type="dxa"/>
            <w:vMerge w:val="continue"/>
            <w:textDirection w:val="lrTb"/>
            <w:noWrap/>
          </w:tcPr>
          <w:p>
            <w:pPr>
              <w:pStyle w:val="8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8" w:type="dxa"/>
            <w:vMerge w:val="continue"/>
            <w:textDirection w:val="lrTb"/>
            <w:noWrap/>
          </w:tcPr>
          <w:p>
            <w:pPr>
              <w:pStyle w:val="883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59" w:type="dxa"/>
            <w:vMerge w:val="continue"/>
            <w:textDirection w:val="lrTb"/>
            <w:noWrap/>
          </w:tcPr>
          <w:p>
            <w:pPr>
              <w:pStyle w:val="8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58" w:type="dxa"/>
            <w:vMerge w:val="continue"/>
            <w:textDirection w:val="lrTb"/>
            <w:noWrap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11" w:type="dxa"/>
            <w:vMerge w:val="continue"/>
            <w:textDirection w:val="lrTb"/>
            <w:noWrap/>
          </w:tcPr>
          <w:p>
            <w:pPr>
              <w:ind w:right="-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783" w:type="dxa"/>
            <w:textDirection w:val="lrTb"/>
            <w:noWrap/>
          </w:tcPr>
          <w:p>
            <w:pPr>
              <w:ind w:right="-108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2022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1768" w:type="dxa"/>
            <w:textDirection w:val="lrTb"/>
            <w:noWrap/>
          </w:tcPr>
          <w:p>
            <w:pPr>
              <w:ind w:right="-108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2023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709" w:type="dxa"/>
            <w:textDirection w:val="lrTb"/>
            <w:noWrap/>
          </w:tcPr>
          <w:p>
            <w:pPr>
              <w:ind w:right="-108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2024</w:t>
            </w:r>
            <w:r/>
          </w:p>
          <w:p>
            <w:pPr>
              <w:ind w:right="-108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884" w:type="dxa"/>
            <w:textDirection w:val="lrTb"/>
            <w:noWrap/>
          </w:tcPr>
          <w:p>
            <w:pPr>
              <w:ind w:left="-135" w:right="-108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всього</w:t>
            </w:r>
            <w:r/>
          </w:p>
        </w:tc>
      </w:tr>
      <w:tr>
        <w:trPr>
          <w:trHeight w:val="872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6" w:type="dxa"/>
            <w:textDirection w:val="lrTb"/>
            <w:noWrap/>
          </w:tcPr>
          <w:p>
            <w:pPr>
              <w:pStyle w:val="88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8" w:type="dxa"/>
            <w:textDirection w:val="lrTb"/>
            <w:noWrap/>
          </w:tcPr>
          <w:p>
            <w:pPr>
              <w:pStyle w:val="883"/>
              <w:ind w:left="-108" w:right="-10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Соціальна підтримка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59" w:type="dxa"/>
            <w:textDirection w:val="lrTb"/>
            <w:noWrap/>
          </w:tcPr>
          <w:p>
            <w:pPr>
              <w:pStyle w:val="883"/>
              <w:ind w:right="-108"/>
              <w:rPr>
                <w:sz w:val="24"/>
                <w:szCs w:val="28"/>
              </w:rPr>
            </w:pPr>
            <w:r>
              <w:rPr>
                <w:bCs/>
                <w:iCs/>
                <w:sz w:val="24"/>
                <w:szCs w:val="28"/>
              </w:rPr>
              <w:t xml:space="preserve">0113032 відшкодува-ння пільг окремим категоріям громадян з оплати послуг зв'язку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58" w:type="dxa"/>
            <w:textDirection w:val="lrTb"/>
            <w:noWrap/>
          </w:tcPr>
          <w:p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2022-</w:t>
            </w:r>
            <w:r/>
          </w:p>
          <w:p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2024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11" w:type="dxa"/>
            <w:textDirection w:val="lrTb"/>
            <w:noWrap/>
          </w:tcPr>
          <w:p>
            <w:pPr>
              <w:ind w:right="-115"/>
              <w:tabs>
                <w:tab w:val="left" w:pos="345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7020" w:leader="none"/>
                <w:tab w:val="right" w:pos="10260" w:leader="none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бюджет громади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3" w:type="dxa"/>
            <w:textDirection w:val="lrTb"/>
            <w:noWrap/>
          </w:tcPr>
          <w:p>
            <w:pPr>
              <w:ind w:left="-108"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1768" w:type="dxa"/>
            <w:textDirection w:val="lrTb"/>
            <w:noWrap/>
          </w:tcPr>
          <w:p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400</w:t>
            </w:r>
            <w:r>
              <w:rPr>
                <w:sz w:val="24"/>
                <w:szCs w:val="28"/>
              </w:rPr>
              <w:t xml:space="preserve">,0</w:t>
            </w:r>
            <w:r>
              <w:rPr>
                <w:sz w:val="24"/>
                <w:szCs w:val="28"/>
              </w:rPr>
              <w:t xml:space="preserve">0</w:t>
            </w:r>
            <w:r>
              <w:rPr>
                <w:sz w:val="24"/>
                <w:szCs w:val="28"/>
              </w:rPr>
              <w:t xml:space="preserve"> в т.ч. викон</w:t>
            </w:r>
            <w:r>
              <w:rPr>
                <w:sz w:val="24"/>
                <w:szCs w:val="28"/>
              </w:rPr>
              <w:t xml:space="preserve">а</w:t>
            </w:r>
            <w:r>
              <w:rPr>
                <w:sz w:val="24"/>
                <w:szCs w:val="28"/>
              </w:rPr>
              <w:t xml:space="preserve">ння судов</w:t>
            </w:r>
            <w:r>
              <w:rPr>
                <w:sz w:val="24"/>
                <w:szCs w:val="28"/>
              </w:rPr>
              <w:t xml:space="preserve">ого</w:t>
            </w:r>
            <w:r>
              <w:rPr>
                <w:sz w:val="24"/>
                <w:szCs w:val="28"/>
              </w:rPr>
              <w:t xml:space="preserve"> рішен</w:t>
            </w:r>
            <w:r>
              <w:rPr>
                <w:sz w:val="24"/>
                <w:szCs w:val="28"/>
              </w:rPr>
              <w:t xml:space="preserve">ня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Господарського суду Чернігівської </w:t>
            </w:r>
            <w:r>
              <w:rPr>
                <w:sz w:val="24"/>
                <w:szCs w:val="24"/>
              </w:rPr>
              <w:t xml:space="preserve">обл.</w:t>
            </w:r>
            <w:r>
              <w:rPr>
                <w:sz w:val="24"/>
                <w:szCs w:val="24"/>
              </w:rPr>
              <w:t xml:space="preserve"> від </w:t>
            </w:r>
            <w:r>
              <w:rPr>
                <w:sz w:val="24"/>
                <w:szCs w:val="24"/>
              </w:rPr>
              <w:t xml:space="preserve">16.03.2023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(</w:t>
            </w:r>
            <w:r>
              <w:rPr>
                <w:sz w:val="24"/>
                <w:szCs w:val="24"/>
              </w:rPr>
              <w:t xml:space="preserve">справ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 № 927/147/2</w:t>
            </w:r>
            <w:r>
              <w:rPr>
                <w:sz w:val="24"/>
                <w:szCs w:val="24"/>
              </w:rPr>
              <w:t xml:space="preserve">)</w:t>
            </w:r>
            <w:r>
              <w:rPr>
                <w:sz w:val="24"/>
                <w:szCs w:val="24"/>
              </w:rPr>
              <w:t xml:space="preserve"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заборгованість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143 023, 99 грн.</w:t>
            </w:r>
            <w:r>
              <w:rPr>
                <w:sz w:val="28"/>
                <w:szCs w:val="28"/>
              </w:rPr>
              <w:t xml:space="preserve">;</w:t>
            </w:r>
            <w:r/>
          </w:p>
          <w:p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</w:t>
            </w:r>
            <w:r>
              <w:rPr>
                <w:sz w:val="24"/>
                <w:szCs w:val="24"/>
              </w:rPr>
              <w:t xml:space="preserve">удовий збір 2684,00</w:t>
            </w:r>
            <w:r>
              <w:rPr>
                <w:sz w:val="24"/>
                <w:szCs w:val="24"/>
              </w:rPr>
              <w:t xml:space="preserve"> грн.</w:t>
            </w:r>
            <w:r/>
          </w:p>
          <w:p>
            <w:pPr>
              <w:ind w:left="-108" w:right="-10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709" w:type="dxa"/>
            <w:textDirection w:val="lrTb"/>
            <w:noWrap/>
          </w:tcPr>
          <w:p>
            <w:pPr>
              <w:ind w:left="-108" w:right="-10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200,0</w:t>
            </w:r>
            <w:r>
              <w:rPr>
                <w:sz w:val="24"/>
                <w:szCs w:val="28"/>
              </w:rPr>
              <w:t xml:space="preserve">0</w:t>
            </w:r>
            <w:r/>
          </w:p>
          <w:p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4" w:type="dxa"/>
            <w:textDirection w:val="lrTb"/>
            <w:noWrap/>
          </w:tcPr>
          <w:p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600,00</w:t>
            </w:r>
            <w:r/>
          </w:p>
        </w:tc>
      </w:tr>
      <w:tr>
        <w:trPr>
          <w:trHeight w:val="857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6" w:type="dxa"/>
            <w:textDirection w:val="lrTb"/>
            <w:noWrap/>
          </w:tcPr>
          <w:p>
            <w:pPr>
              <w:pStyle w:val="8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8" w:type="dxa"/>
            <w:textDirection w:val="lrTb"/>
            <w:noWrap/>
          </w:tcPr>
          <w:p>
            <w:pPr>
              <w:pStyle w:val="883"/>
              <w:ind w:left="-108" w:right="-10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Соціальна підтримка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59" w:type="dxa"/>
            <w:textDirection w:val="lrTb"/>
            <w:noWrap/>
          </w:tcPr>
          <w:p>
            <w:pPr>
              <w:pStyle w:val="883"/>
              <w:ind w:right="-108"/>
              <w:rPr>
                <w:sz w:val="24"/>
                <w:szCs w:val="28"/>
              </w:rPr>
            </w:pPr>
            <w:r>
              <w:rPr>
                <w:bCs/>
                <w:iCs/>
                <w:sz w:val="24"/>
                <w:szCs w:val="28"/>
              </w:rPr>
              <w:t xml:space="preserve">0113035 Компенсаційні виплати за пільговий проїзд окремих категорій </w:t>
            </w:r>
            <w:r>
              <w:rPr>
                <w:bCs/>
                <w:iCs/>
                <w:sz w:val="24"/>
                <w:szCs w:val="28"/>
              </w:rPr>
              <w:t xml:space="preserve">громадян на залізничному транспорті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58" w:type="dxa"/>
            <w:textDirection w:val="lrTb"/>
            <w:noWrap/>
          </w:tcPr>
          <w:p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2022-</w:t>
            </w:r>
            <w:r/>
          </w:p>
          <w:p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2024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11" w:type="dxa"/>
            <w:textDirection w:val="lrTb"/>
            <w:noWrap/>
          </w:tcPr>
          <w:p>
            <w:pPr>
              <w:ind w:right="-115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бюджет громади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3" w:type="dxa"/>
            <w:textDirection w:val="lrTb"/>
            <w:noWrap/>
          </w:tcPr>
          <w:p>
            <w:pPr>
              <w:ind w:left="-108"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1768" w:type="dxa"/>
            <w:textDirection w:val="lrTb"/>
            <w:noWrap/>
          </w:tcPr>
          <w:p>
            <w:pPr>
              <w:ind w:left="-108"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20</w:t>
            </w:r>
            <w:r>
              <w:rPr>
                <w:sz w:val="24"/>
                <w:szCs w:val="28"/>
              </w:rPr>
              <w:t xml:space="preserve">,0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709" w:type="dxa"/>
            <w:textDirection w:val="lrTb"/>
            <w:noWrap/>
          </w:tcPr>
          <w:p>
            <w:pPr>
              <w:ind w:left="-108"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5</w:t>
            </w:r>
            <w:r>
              <w:rPr>
                <w:sz w:val="24"/>
                <w:szCs w:val="28"/>
              </w:rPr>
              <w:t xml:space="preserve">0,0</w:t>
            </w:r>
            <w:r/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884" w:type="dxa"/>
            <w:textDirection w:val="lrTb"/>
            <w:noWrap/>
          </w:tcPr>
          <w:p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70,00</w:t>
            </w:r>
            <w:r/>
          </w:p>
        </w:tc>
      </w:tr>
    </w:tbl>
    <w:p>
      <w:pPr>
        <w:pStyle w:val="1068"/>
        <w:ind w:firstLine="708"/>
        <w:jc w:val="both"/>
        <w:spacing w:after="135" w:afterAutospacing="0" w:before="0" w:beforeAutospacing="0"/>
        <w:shd w:val="clear" w:fill="FFFFFF" w:color="auto"/>
        <w:rPr>
          <w:rStyle w:val="1045"/>
          <w:rFonts w:eastAsia="Arial"/>
          <w:sz w:val="28"/>
          <w:szCs w:val="28"/>
          <w:lang w:val="uk-UA"/>
        </w:rPr>
      </w:pPr>
      <w:r>
        <w:rPr>
          <w:rFonts w:eastAsia="Arial"/>
          <w:sz w:val="28"/>
          <w:szCs w:val="28"/>
          <w:lang w:val="uk-UA"/>
        </w:rPr>
        <w:t xml:space="preserve">Порядок реалізації даної Програми є її невід’ємною частиною  (додається).</w:t>
      </w:r>
      <w:r/>
    </w:p>
    <w:p>
      <w:pPr>
        <w:pStyle w:val="883"/>
        <w:jc w:val="center"/>
        <w:rPr>
          <w:rFonts w:ascii="Helvetica" w:hAnsi="Helvetica"/>
          <w:sz w:val="28"/>
          <w:szCs w:val="28"/>
        </w:rPr>
      </w:pPr>
      <w:r>
        <w:rPr>
          <w:rStyle w:val="1045"/>
          <w:rFonts w:eastAsia="Arial"/>
          <w:sz w:val="28"/>
          <w:szCs w:val="28"/>
        </w:rPr>
        <w:t xml:space="preserve">8. Очікувані результати та ефективність Програми</w:t>
      </w:r>
      <w:r/>
    </w:p>
    <w:p>
      <w:pPr>
        <w:pStyle w:val="88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Реалізація заходів Програми забезпечить соціальну підтримку окремих пільгових категорій жителів громади.</w:t>
      </w:r>
      <w:r/>
    </w:p>
    <w:p>
      <w:pPr>
        <w:pStyle w:val="88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Фінансування пільг з послуг зв’язку та компенсацій за пільгове перевезення передбачає можливість забезпечити виконання державних соціальних гарантій відповідно до чинного законодавства України.</w:t>
      </w:r>
      <w:r/>
    </w:p>
    <w:p>
      <w:pPr>
        <w:pStyle w:val="88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чином, завдяки реалізації заходів Програми буде досягнута основна мета - соціальни</w:t>
      </w:r>
      <w:r>
        <w:rPr>
          <w:sz w:val="28"/>
          <w:szCs w:val="28"/>
        </w:rPr>
        <w:t xml:space="preserve">й захист пільгових категорій громадян - жителів громади, шляхом фінансування пільг на оплату послуг зв'язку та компенсаційних виплат перевізнику, який здійснює пільгові перевезення окремих категорій громадян залізничним транспортом на приміських маршрутах.</w:t>
      </w:r>
      <w:r/>
    </w:p>
    <w:p>
      <w:pPr>
        <w:pStyle w:val="88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066"/>
        <w:ind w:firstLine="567"/>
        <w:jc w:val="center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8. Координація та контроль за ходом виконання Програми</w:t>
      </w:r>
      <w:r/>
    </w:p>
    <w:p>
      <w:pPr>
        <w:pStyle w:val="88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реалізацією Програми покладається на </w:t>
      </w:r>
      <w:r>
        <w:rPr>
          <w:spacing w:val="1"/>
          <w:sz w:val="28"/>
          <w:szCs w:val="28"/>
        </w:rPr>
        <w:t xml:space="preserve">постійну комісію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 міської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питань охорони здоров’я та соціального захи</w:t>
      </w:r>
      <w:r>
        <w:rPr>
          <w:sz w:val="28"/>
          <w:szCs w:val="28"/>
        </w:rPr>
        <w:t xml:space="preserve">сту населення, освіти, культури, молоді, фізкультури і спорту, постійну комісію з питань планування, фінансів, бюджету та соціально-економічного розвитку, заступників міського голови з питань діяльності виконавчих органів ради В.В. Прищепу та С.М. Гаєвого.</w:t>
      </w:r>
      <w:r/>
    </w:p>
    <w:p>
      <w:pPr>
        <w:pStyle w:val="883"/>
        <w:ind w:firstLine="567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</w:r>
      <w:r/>
    </w:p>
    <w:p>
      <w:pPr>
        <w:pStyle w:val="883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</w:r>
      <w:r/>
    </w:p>
    <w:p>
      <w:pPr>
        <w:rPr>
          <w:sz w:val="28"/>
        </w:rPr>
      </w:pPr>
      <w:r>
        <w:rPr>
          <w:sz w:val="28"/>
        </w:rPr>
        <w:t xml:space="preserve">Начальник відділу соціального</w:t>
      </w:r>
      <w:r/>
    </w:p>
    <w:p>
      <w:pPr>
        <w:tabs>
          <w:tab w:val="left" w:pos="1061" w:leader="none"/>
        </w:tabs>
        <w:rPr>
          <w:sz w:val="28"/>
        </w:rPr>
      </w:pPr>
      <w:r>
        <w:rPr>
          <w:sz w:val="28"/>
        </w:rPr>
        <w:t xml:space="preserve">захисту</w:t>
      </w:r>
      <w:r>
        <w:rPr>
          <w:sz w:val="28"/>
        </w:rPr>
        <w:tab/>
        <w:t xml:space="preserve">населення, сім’ї, молоді</w:t>
      </w:r>
      <w:r/>
    </w:p>
    <w:p>
      <w:pPr>
        <w:tabs>
          <w:tab w:val="left" w:pos="1061" w:leader="none"/>
        </w:tabs>
        <w:rPr>
          <w:sz w:val="28"/>
        </w:rPr>
      </w:pPr>
      <w:r>
        <w:rPr>
          <w:sz w:val="28"/>
        </w:rPr>
        <w:t xml:space="preserve">та охорони здоров’я Менської </w:t>
      </w:r>
      <w:r/>
    </w:p>
    <w:p>
      <w:pPr>
        <w:tabs>
          <w:tab w:val="left" w:pos="1061" w:leader="none"/>
        </w:tabs>
        <w:rPr>
          <w:sz w:val="28"/>
        </w:rPr>
      </w:pPr>
      <w:r>
        <w:rPr>
          <w:sz w:val="28"/>
        </w:rPr>
        <w:t xml:space="preserve">міської ради       </w:t>
      </w:r>
      <w:r>
        <w:rPr>
          <w:sz w:val="28"/>
        </w:rPr>
        <w:t xml:space="preserve">                                                            </w:t>
      </w:r>
      <w:r>
        <w:rPr>
          <w:sz w:val="28"/>
        </w:rPr>
        <w:t xml:space="preserve">     Марина МОСКАЛЬЧУК</w:t>
      </w:r>
      <w:bookmarkEnd w:id="0"/>
      <w:r/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Times New Roman">
    <w:panose1 w:val="02020603050405020304"/>
  </w:font>
  <w:font w:name="helvetica">
    <w:panose1 w:val="020B0604020202020204"/>
  </w:font>
  <w:font w:name="liberationserif-bold">
    <w:panose1 w:val="02070409020205020404"/>
  </w:font>
  <w:font w:name="OpenSymbol">
    <w:panose1 w:val="05010000000000000000"/>
  </w:font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liberationserif">
    <w:panose1 w:val="02070409020205020404"/>
  </w:font>
  <w:font w:name="Batang">
    <w:panose1 w:val="02020603020101020101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2"/>
    </w:pPr>
    <w:r>
      <mc:AlternateContent>
        <mc:Choice Requires="wpg">
          <w:drawing>
            <wp:anchor xmlns:wp="http://schemas.openxmlformats.org/drawingml/2006/wordprocessingDrawing"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55370" cy="175260"/>
              <wp:effectExtent l="0" t="0" r="0" b="0"/>
              <wp:wrapSquare wrapText="bothSides"/>
              <wp:docPr id="1" name="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055370" cy="175260"/>
                      </a:xfrm>
                      <a:custGeom>
                        <a:avLst>
                          <a:gd name="adj0" fmla="val 0"/>
                          <a:gd name="adj1" fmla="val 0"/>
                          <a:gd name="adj2" fmla="val 0"/>
                        </a:avLst>
                        <a:gdLst>
                          <a:gd name="gd0" fmla="val 65536"/>
                          <a:gd name="gd1" fmla="val 0"/>
                          <a:gd name="gd2" fmla="val 0"/>
                          <a:gd name="gd3" fmla="val 0"/>
                          <a:gd name="gd4" fmla="val 21592"/>
                          <a:gd name="gd5" fmla="+- gd3 21600 0"/>
                          <a:gd name="gd6" fmla="+- gd4 0 0"/>
                          <a:gd name="gd7" fmla="val 21600"/>
                          <a:gd name="gd8" fmla="val 0"/>
                          <a:gd name="gd9" fmla="*/ w 0 100000"/>
                          <a:gd name="gd10" fmla="*/ h 0 100000"/>
                          <a:gd name="gd11" fmla="*/ w 0 100000"/>
                          <a:gd name="gd12" fmla="*/ h 0 100000"/>
                        </a:gdLst>
                        <a:ahLst/>
                        <a:cxnLst/>
                        <a:rect l="gd9" t="gd10" r="gd11" b="gd12"/>
                        <a:pathLst>
                          <a:path w="100000" h="100000" fill="norm" stroke="1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close/>
                          </a:path>
                          <a:path w="100000" h="100000" fill="norm" stroke="1" extrusionOk="0"/>
                        </a:pathLst>
                      </a:cu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round/>
                      </a:ln>
                    </wps:spPr>
                    <wps:txbx>
                      <w:txbxContent>
                        <w:p>
                          <w:r/>
                          <w:r/>
                        </w:p>
                      </w:txbxContent>
                    </wps:txbx>
                    <wps:bodyPr wrap="square"/>
                  </wps:wsp>
                </a:graphicData>
              </a:graphic>
            </wp:anchor>
          </w:drawing>
        </mc:Choice>
        <mc:Fallback>
          <w:pict>
            <v:shape id="shape 0" o:spid="_x0000_s0" style="position:absolute;mso-wrap-distance-left:0.0pt;mso-wrap-distance-top:0.0pt;mso-wrap-distance-right:0.0pt;mso-wrap-distance-bottom:0.0pt;z-index:251660288;o:allowoverlap:true;o:allowincell:true;mso-position-horizontal-relative:margin;mso-position-horizontal:center;mso-position-vertical-relative:text;margin-top:0.0pt;mso-position-vertical:absolute;width:83.1pt;height:13.8pt;" coordsize="100000,100000" path="m0,0l0,21592l21600,21592l21600,0xee" fillcolor="#FFFFFF" stroked="f">
              <v:path textboxrect="0,0,0,0"/>
              <v:fill opacity="100f"/>
              <w10:wrap type="square"/>
              <v:textbox>
                <w:txbxContent>
                  <w:p>
                    <w:r/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4"/>
      <w:jc w:val="right"/>
      <w:rPr>
        <w:i/>
      </w:rPr>
    </w:pPr>
    <w:fldSimple w:instr="PAGE \* MERGEFORMAT">
      <w:r>
        <w:rPr>
          <w:i/>
        </w:rPr>
        <w:t xml:space="preserve">1</w:t>
      </w:r>
    </w:fldSimple>
    <w:r>
      <w:rPr>
        <w:i/>
      </w:rPr>
    </w:r>
    <w:r>
      <w:rPr>
        <w:i/>
      </w:rPr>
      <w:t xml:space="preserve">                                    продовження додатка</w:t>
    </w:r>
    <w:r/>
  </w:p>
  <w:p>
    <w:pPr>
      <w:pStyle w:val="106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4"/>
      <w:rPr>
        <w:rStyle w:val="1061"/>
      </w:rPr>
      <w:framePr w:wrap="around" w:vAnchor="text" w:hAnchor="margin" w:xAlign="center" w:y="1"/>
    </w:pPr>
    <w:r>
      <w:rPr>
        <w:rStyle w:val="1061"/>
      </w:rPr>
      <w:fldChar w:fldCharType="begin"/>
    </w:r>
    <w:r>
      <w:rPr>
        <w:rStyle w:val="1061"/>
      </w:rPr>
      <w:instrText xml:space="preserve">PAGE  </w:instrText>
    </w:r>
    <w:r>
      <w:rPr>
        <w:rStyle w:val="1061"/>
      </w:rPr>
      <w:fldChar w:fldCharType="end"/>
    </w:r>
    <w:r/>
  </w:p>
  <w:p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Theme="minorHAnsi" w:hAnsiTheme="minorHAnsi" w:hint="default"/>
        <w:color w:val="000000"/>
        <w:sz w:val="3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0" w:hanging="360"/>
        <w:tabs>
          <w:tab w:val="left" w:pos="10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-"/>
      <w:lvlJc w:val="left"/>
      <w:pPr>
        <w:ind w:left="1740" w:hanging="360"/>
        <w:tabs>
          <w:tab w:val="left" w:pos="1740" w:leader="none"/>
        </w:tabs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460" w:hanging="180"/>
        <w:tabs>
          <w:tab w:val="left" w:pos="24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180" w:hanging="360"/>
        <w:tabs>
          <w:tab w:val="left" w:pos="31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00" w:hanging="360"/>
        <w:tabs>
          <w:tab w:val="left" w:pos="39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20" w:hanging="180"/>
        <w:tabs>
          <w:tab w:val="left" w:pos="46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40" w:hanging="360"/>
        <w:tabs>
          <w:tab w:val="left" w:pos="53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060" w:hanging="360"/>
        <w:tabs>
          <w:tab w:val="left" w:pos="60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780" w:hanging="180"/>
        <w:tabs>
          <w:tab w:val="left" w:pos="6780" w:leader="none"/>
        </w:tabs>
      </w:pPr>
    </w:lvl>
  </w:abstractNum>
  <w:abstractNum w:abstractNumId="2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780"/>
        <w:tabs>
          <w:tab w:val="left" w:pos="1320" w:leader="none"/>
        </w:tabs>
      </w:pPr>
    </w:lvl>
    <w:lvl w:ilvl="1">
      <w:start w:val="3"/>
      <w:numFmt w:val="bullet"/>
      <w:isLgl w:val="false"/>
      <w:suff w:val="tab"/>
      <w:lvlText w:val="-"/>
      <w:lvlJc w:val="left"/>
      <w:pPr>
        <w:ind w:left="1620" w:hanging="360"/>
        <w:tabs>
          <w:tab w:val="left" w:pos="1620" w:leader="none"/>
        </w:tabs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0" w:hanging="360"/>
        <w:tabs>
          <w:tab w:val="left" w:pos="10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40" w:hanging="360"/>
        <w:tabs>
          <w:tab w:val="left" w:pos="17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460" w:hanging="180"/>
        <w:tabs>
          <w:tab w:val="left" w:pos="24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180" w:hanging="360"/>
        <w:tabs>
          <w:tab w:val="left" w:pos="31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00" w:hanging="360"/>
        <w:tabs>
          <w:tab w:val="left" w:pos="39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20" w:hanging="180"/>
        <w:tabs>
          <w:tab w:val="left" w:pos="46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40" w:hanging="360"/>
        <w:tabs>
          <w:tab w:val="left" w:pos="53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060" w:hanging="360"/>
        <w:tabs>
          <w:tab w:val="left" w:pos="60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780" w:hanging="180"/>
        <w:tabs>
          <w:tab w:val="left" w:pos="67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600"/>
        <w:tabs>
          <w:tab w:val="left" w:pos="7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260" w:hanging="360"/>
        <w:tabs>
          <w:tab w:val="left" w:pos="12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980" w:hanging="180"/>
        <w:tabs>
          <w:tab w:val="left" w:pos="19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700" w:hanging="360"/>
        <w:tabs>
          <w:tab w:val="left" w:pos="27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420" w:hanging="360"/>
        <w:tabs>
          <w:tab w:val="left" w:pos="34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40" w:hanging="180"/>
        <w:tabs>
          <w:tab w:val="left" w:pos="41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60" w:hanging="360"/>
        <w:tabs>
          <w:tab w:val="left" w:pos="48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580" w:hanging="360"/>
        <w:tabs>
          <w:tab w:val="left" w:pos="55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300" w:hanging="180"/>
        <w:tabs>
          <w:tab w:val="left" w:pos="6300" w:leader="none"/>
        </w:tabs>
      </w:pPr>
    </w:lvl>
  </w:abstractNum>
  <w:abstractNum w:abstractNumId="13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2025"/>
      <w:numFmt w:val="decimal"/>
      <w:isLgl w:val="false"/>
      <w:suff w:val="tab"/>
      <w:lvlText w:val="%1"/>
      <w:lvlJc w:val="left"/>
      <w:pPr>
        <w:ind w:left="960" w:hanging="60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20" w:hanging="210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194" w:hanging="210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169" w:hanging="210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143" w:hanging="210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118" w:hanging="210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93" w:hanging="210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067" w:hanging="210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042" w:hanging="210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016" w:hanging="210"/>
      </w:pPr>
      <w:rPr>
        <w:rFonts w:hint="default"/>
        <w:lang w:val="uk-UA" w:bidi="ar-SA" w:eastAsia="en-US"/>
      </w:rPr>
    </w:lvl>
  </w:abstractNum>
  <w:abstractNum w:abstractNumId="2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9"/>
  </w:num>
  <w:num w:numId="8">
    <w:abstractNumId w:val="12"/>
  </w:num>
  <w:num w:numId="9">
    <w:abstractNumId w:val="23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6"/>
  </w:num>
  <w:num w:numId="13">
    <w:abstractNumId w:val="13"/>
  </w:num>
  <w:num w:numId="14">
    <w:abstractNumId w:val="7"/>
  </w:num>
  <w:num w:numId="15">
    <w:abstractNumId w:val="20"/>
  </w:num>
  <w:num w:numId="16">
    <w:abstractNumId w:val="15"/>
  </w:num>
  <w:num w:numId="17">
    <w:abstractNumId w:val="21"/>
  </w:num>
  <w:num w:numId="18">
    <w:abstractNumId w:val="8"/>
  </w:num>
  <w:num w:numId="19">
    <w:abstractNumId w:val="22"/>
  </w:num>
  <w:num w:numId="20">
    <w:abstractNumId w:val="18"/>
  </w:num>
  <w:num w:numId="21">
    <w:abstractNumId w:val="14"/>
  </w:num>
  <w:num w:numId="22">
    <w:abstractNumId w:val="2"/>
  </w:num>
  <w:num w:numId="23">
    <w:abstractNumId w:val="0"/>
  </w:num>
  <w:num w:numId="24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77" w:default="1">
    <w:name w:val="Normal"/>
    <w:qFormat/>
  </w:style>
  <w:style w:type="character" w:styleId="778" w:default="1">
    <w:name w:val="Default Paragraph Font"/>
    <w:uiPriority w:val="1"/>
    <w:semiHidden/>
    <w:unhideWhenUsed/>
  </w:style>
  <w:style w:type="table" w:styleId="77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0" w:default="1">
    <w:name w:val="No List"/>
    <w:uiPriority w:val="99"/>
    <w:semiHidden/>
    <w:unhideWhenUsed/>
  </w:style>
  <w:style w:type="character" w:styleId="781" w:customStyle="1">
    <w:name w:val="Endnote Text Char"/>
    <w:link w:val="784"/>
    <w:uiPriority w:val="99"/>
    <w:rPr>
      <w:sz w:val="20"/>
    </w:rPr>
  </w:style>
  <w:style w:type="paragraph" w:styleId="782" w:customStyle="1">
    <w:name w:val="Caption"/>
    <w:basedOn w:val="777"/>
    <w:next w:val="77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83" w:customStyle="1">
    <w:name w:val="Caption Char"/>
    <w:link w:val="1062"/>
    <w:uiPriority w:val="99"/>
  </w:style>
  <w:style w:type="paragraph" w:styleId="784">
    <w:name w:val="endnote text"/>
    <w:basedOn w:val="777"/>
    <w:link w:val="785"/>
    <w:uiPriority w:val="99"/>
    <w:semiHidden/>
    <w:unhideWhenUsed/>
    <w:rPr>
      <w:sz w:val="20"/>
    </w:rPr>
  </w:style>
  <w:style w:type="character" w:styleId="785" w:customStyle="1">
    <w:name w:val="Текст концевой сноски Знак"/>
    <w:link w:val="784"/>
    <w:uiPriority w:val="99"/>
    <w:rPr>
      <w:sz w:val="20"/>
    </w:rPr>
  </w:style>
  <w:style w:type="character" w:styleId="786">
    <w:name w:val="endnote reference"/>
    <w:basedOn w:val="778"/>
    <w:uiPriority w:val="99"/>
    <w:semiHidden/>
    <w:unhideWhenUsed/>
    <w:rPr>
      <w:vertAlign w:val="superscript"/>
    </w:rPr>
  </w:style>
  <w:style w:type="paragraph" w:styleId="787">
    <w:name w:val="table of figures"/>
    <w:basedOn w:val="777"/>
    <w:next w:val="777"/>
    <w:uiPriority w:val="99"/>
    <w:unhideWhenUsed/>
  </w:style>
  <w:style w:type="character" w:styleId="788" w:customStyle="1">
    <w:name w:val="Heading 1 Char"/>
    <w:basedOn w:val="778"/>
    <w:link w:val="818"/>
    <w:uiPriority w:val="9"/>
    <w:rPr>
      <w:rFonts w:ascii="Arial" w:hAnsi="Arial" w:cs="Arial" w:eastAsia="Arial"/>
      <w:sz w:val="40"/>
      <w:szCs w:val="40"/>
    </w:rPr>
  </w:style>
  <w:style w:type="character" w:styleId="789" w:customStyle="1">
    <w:name w:val="Heading 2 Char"/>
    <w:basedOn w:val="778"/>
    <w:link w:val="819"/>
    <w:uiPriority w:val="9"/>
    <w:rPr>
      <w:rFonts w:ascii="Arial" w:hAnsi="Arial" w:cs="Arial" w:eastAsia="Arial"/>
      <w:sz w:val="34"/>
    </w:rPr>
  </w:style>
  <w:style w:type="character" w:styleId="790" w:customStyle="1">
    <w:name w:val="Heading 3 Char"/>
    <w:basedOn w:val="778"/>
    <w:link w:val="820"/>
    <w:uiPriority w:val="9"/>
    <w:rPr>
      <w:rFonts w:ascii="Arial" w:hAnsi="Arial" w:cs="Arial" w:eastAsia="Arial"/>
      <w:sz w:val="30"/>
      <w:szCs w:val="30"/>
    </w:rPr>
  </w:style>
  <w:style w:type="character" w:styleId="791" w:customStyle="1">
    <w:name w:val="Heading 4 Char"/>
    <w:basedOn w:val="778"/>
    <w:link w:val="821"/>
    <w:uiPriority w:val="9"/>
    <w:rPr>
      <w:rFonts w:ascii="Arial" w:hAnsi="Arial" w:cs="Arial" w:eastAsia="Arial"/>
      <w:b/>
      <w:bCs/>
      <w:sz w:val="26"/>
      <w:szCs w:val="26"/>
    </w:rPr>
  </w:style>
  <w:style w:type="character" w:styleId="792" w:customStyle="1">
    <w:name w:val="Heading 5 Char"/>
    <w:basedOn w:val="778"/>
    <w:link w:val="822"/>
    <w:uiPriority w:val="9"/>
    <w:rPr>
      <w:rFonts w:ascii="Arial" w:hAnsi="Arial" w:cs="Arial" w:eastAsia="Arial"/>
      <w:b/>
      <w:bCs/>
      <w:sz w:val="24"/>
      <w:szCs w:val="24"/>
    </w:rPr>
  </w:style>
  <w:style w:type="character" w:styleId="793" w:customStyle="1">
    <w:name w:val="Heading 6 Char"/>
    <w:basedOn w:val="778"/>
    <w:link w:val="823"/>
    <w:uiPriority w:val="9"/>
    <w:rPr>
      <w:rFonts w:ascii="Arial" w:hAnsi="Arial" w:cs="Arial" w:eastAsia="Arial"/>
      <w:b/>
      <w:bCs/>
      <w:sz w:val="22"/>
      <w:szCs w:val="22"/>
    </w:rPr>
  </w:style>
  <w:style w:type="character" w:styleId="794" w:customStyle="1">
    <w:name w:val="Heading 7 Char"/>
    <w:basedOn w:val="778"/>
    <w:link w:val="8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5" w:customStyle="1">
    <w:name w:val="Heading 8 Char"/>
    <w:basedOn w:val="778"/>
    <w:link w:val="825"/>
    <w:uiPriority w:val="9"/>
    <w:rPr>
      <w:rFonts w:ascii="Arial" w:hAnsi="Arial" w:cs="Arial" w:eastAsia="Arial"/>
      <w:i/>
      <w:iCs/>
      <w:sz w:val="22"/>
      <w:szCs w:val="22"/>
    </w:rPr>
  </w:style>
  <w:style w:type="character" w:styleId="796" w:customStyle="1">
    <w:name w:val="Heading 9 Char"/>
    <w:basedOn w:val="778"/>
    <w:link w:val="826"/>
    <w:uiPriority w:val="9"/>
    <w:rPr>
      <w:rFonts w:ascii="Arial" w:hAnsi="Arial" w:cs="Arial" w:eastAsia="Arial"/>
      <w:i/>
      <w:iCs/>
      <w:sz w:val="21"/>
      <w:szCs w:val="21"/>
    </w:rPr>
  </w:style>
  <w:style w:type="character" w:styleId="797" w:customStyle="1">
    <w:name w:val="Header Char"/>
    <w:basedOn w:val="778"/>
    <w:link w:val="827"/>
    <w:uiPriority w:val="99"/>
  </w:style>
  <w:style w:type="character" w:styleId="798" w:customStyle="1">
    <w:name w:val="Footer Char"/>
    <w:basedOn w:val="778"/>
    <w:link w:val="828"/>
    <w:uiPriority w:val="99"/>
  </w:style>
  <w:style w:type="table" w:styleId="799" w:customStyle="1">
    <w:name w:val="Plain Table 1"/>
    <w:basedOn w:val="779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0" w:customStyle="1">
    <w:name w:val="Plain Table 2"/>
    <w:basedOn w:val="779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1" w:customStyle="1">
    <w:name w:val="Plain Table 3"/>
    <w:basedOn w:val="77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2" w:customStyle="1">
    <w:name w:val="Plain Table 4"/>
    <w:basedOn w:val="77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Plain Table 5"/>
    <w:basedOn w:val="77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4" w:customStyle="1">
    <w:name w:val="Grid Table 1 Light"/>
    <w:basedOn w:val="779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2"/>
    <w:basedOn w:val="779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3"/>
    <w:basedOn w:val="779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4"/>
    <w:basedOn w:val="779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8" w:customStyle="1">
    <w:name w:val="Grid Table 5 Dark"/>
    <w:basedOn w:val="77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6 Colorful"/>
    <w:basedOn w:val="779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0" w:customStyle="1">
    <w:name w:val="Grid Table 7 Colorful"/>
    <w:basedOn w:val="779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"/>
    <w:basedOn w:val="77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2"/>
    <w:basedOn w:val="779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3" w:customStyle="1">
    <w:name w:val="List Table 3"/>
    <w:basedOn w:val="779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"/>
    <w:basedOn w:val="779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5 Dark"/>
    <w:basedOn w:val="779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6 Colorful"/>
    <w:basedOn w:val="779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7" w:customStyle="1">
    <w:name w:val="List Table 7 Colorful"/>
    <w:basedOn w:val="779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818" w:customStyle="1">
    <w:name w:val="Heading 1"/>
    <w:basedOn w:val="777"/>
    <w:next w:val="777"/>
    <w:link w:val="848"/>
    <w:qFormat/>
    <w:uiPriority w:val="1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819" w:customStyle="1">
    <w:name w:val="Heading 2"/>
    <w:basedOn w:val="777"/>
    <w:next w:val="777"/>
    <w:link w:val="84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20" w:customStyle="1">
    <w:name w:val="Heading 3"/>
    <w:basedOn w:val="777"/>
    <w:next w:val="777"/>
    <w:link w:val="85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21" w:customStyle="1">
    <w:name w:val="Heading 4"/>
    <w:basedOn w:val="777"/>
    <w:next w:val="777"/>
    <w:link w:val="85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22" w:customStyle="1">
    <w:name w:val="Heading 5"/>
    <w:basedOn w:val="777"/>
    <w:next w:val="777"/>
    <w:link w:val="85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23" w:customStyle="1">
    <w:name w:val="Heading 6"/>
    <w:basedOn w:val="777"/>
    <w:next w:val="777"/>
    <w:link w:val="85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24" w:customStyle="1">
    <w:name w:val="Heading 7"/>
    <w:basedOn w:val="777"/>
    <w:next w:val="777"/>
    <w:link w:val="85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25" w:customStyle="1">
    <w:name w:val="Heading 8"/>
    <w:basedOn w:val="777"/>
    <w:next w:val="777"/>
    <w:link w:val="85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826" w:customStyle="1">
    <w:name w:val="Heading 9"/>
    <w:basedOn w:val="777"/>
    <w:next w:val="777"/>
    <w:link w:val="85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827" w:customStyle="1">
    <w:name w:val="Header"/>
    <w:basedOn w:val="777"/>
    <w:link w:val="861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828" w:customStyle="1">
    <w:name w:val="Footer"/>
    <w:basedOn w:val="777"/>
    <w:link w:val="862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829" w:customStyle="1">
    <w:name w:val="Таблица простая 11"/>
    <w:basedOn w:val="779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0" w:customStyle="1">
    <w:name w:val="Таблица простая 21"/>
    <w:basedOn w:val="779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1" w:customStyle="1">
    <w:name w:val="Таблица простая 31"/>
    <w:basedOn w:val="77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2" w:customStyle="1">
    <w:name w:val="Таблица простая 41"/>
    <w:basedOn w:val="77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Таблица простая 51"/>
    <w:basedOn w:val="77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34" w:customStyle="1">
    <w:name w:val="Таблица-сетка 1 светлая1"/>
    <w:basedOn w:val="779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Таблица-сетка 21"/>
    <w:basedOn w:val="779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Таблица-сетка 31"/>
    <w:basedOn w:val="779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Таблица-сетка 41"/>
    <w:basedOn w:val="779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8" w:customStyle="1">
    <w:name w:val="Таблица-сетка 5 темная1"/>
    <w:basedOn w:val="77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39" w:customStyle="1">
    <w:name w:val="Таблица-сетка 6 цветная1"/>
    <w:basedOn w:val="779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0" w:customStyle="1">
    <w:name w:val="Таблица-сетка 7 цветная1"/>
    <w:basedOn w:val="779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41" w:customStyle="1">
    <w:name w:val="Список-таблица 1 светлая1"/>
    <w:basedOn w:val="77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Список-таблица 21"/>
    <w:basedOn w:val="779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3" w:customStyle="1">
    <w:name w:val="Список-таблица 31"/>
    <w:basedOn w:val="779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Список-таблица 41"/>
    <w:basedOn w:val="779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Список-таблица 5 темная1"/>
    <w:basedOn w:val="779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Список-таблица 6 цветная1"/>
    <w:basedOn w:val="779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7" w:customStyle="1">
    <w:name w:val="Список-таблица 7 цветная1"/>
    <w:basedOn w:val="779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848" w:customStyle="1">
    <w:name w:val="Заголовок 1 Знак1"/>
    <w:basedOn w:val="778"/>
    <w:link w:val="818"/>
    <w:uiPriority w:val="9"/>
    <w:rPr>
      <w:rFonts w:ascii="Arial" w:hAnsi="Arial" w:cs="Arial" w:eastAsia="Arial"/>
      <w:sz w:val="40"/>
      <w:szCs w:val="40"/>
    </w:rPr>
  </w:style>
  <w:style w:type="character" w:styleId="849" w:customStyle="1">
    <w:name w:val="Заголовок 2 Знак1"/>
    <w:basedOn w:val="778"/>
    <w:link w:val="819"/>
    <w:uiPriority w:val="9"/>
    <w:rPr>
      <w:rFonts w:ascii="Arial" w:hAnsi="Arial" w:cs="Arial" w:eastAsia="Arial"/>
      <w:sz w:val="34"/>
    </w:rPr>
  </w:style>
  <w:style w:type="character" w:styleId="850" w:customStyle="1">
    <w:name w:val="Заголовок 3 Знак1"/>
    <w:basedOn w:val="778"/>
    <w:link w:val="820"/>
    <w:uiPriority w:val="9"/>
    <w:rPr>
      <w:rFonts w:ascii="Arial" w:hAnsi="Arial" w:cs="Arial" w:eastAsia="Arial"/>
      <w:sz w:val="30"/>
      <w:szCs w:val="30"/>
    </w:rPr>
  </w:style>
  <w:style w:type="character" w:styleId="851" w:customStyle="1">
    <w:name w:val="Заголовок 4 Знак1"/>
    <w:basedOn w:val="778"/>
    <w:link w:val="821"/>
    <w:uiPriority w:val="9"/>
    <w:rPr>
      <w:rFonts w:ascii="Arial" w:hAnsi="Arial" w:cs="Arial" w:eastAsia="Arial"/>
      <w:b/>
      <w:bCs/>
      <w:sz w:val="26"/>
      <w:szCs w:val="26"/>
    </w:rPr>
  </w:style>
  <w:style w:type="character" w:styleId="852" w:customStyle="1">
    <w:name w:val="Заголовок 5 Знак1"/>
    <w:basedOn w:val="778"/>
    <w:link w:val="822"/>
    <w:uiPriority w:val="9"/>
    <w:rPr>
      <w:rFonts w:ascii="Arial" w:hAnsi="Arial" w:cs="Arial" w:eastAsia="Arial"/>
      <w:b/>
      <w:bCs/>
      <w:sz w:val="24"/>
      <w:szCs w:val="24"/>
    </w:rPr>
  </w:style>
  <w:style w:type="character" w:styleId="853" w:customStyle="1">
    <w:name w:val="Заголовок 6 Знак1"/>
    <w:basedOn w:val="778"/>
    <w:link w:val="823"/>
    <w:uiPriority w:val="9"/>
    <w:rPr>
      <w:rFonts w:ascii="Arial" w:hAnsi="Arial" w:cs="Arial" w:eastAsia="Arial"/>
      <w:b/>
      <w:bCs/>
      <w:sz w:val="22"/>
      <w:szCs w:val="22"/>
    </w:rPr>
  </w:style>
  <w:style w:type="character" w:styleId="854" w:customStyle="1">
    <w:name w:val="Заголовок 7 Знак1"/>
    <w:basedOn w:val="778"/>
    <w:link w:val="8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55" w:customStyle="1">
    <w:name w:val="Заголовок 8 Знак1"/>
    <w:basedOn w:val="778"/>
    <w:link w:val="825"/>
    <w:uiPriority w:val="9"/>
    <w:rPr>
      <w:rFonts w:ascii="Arial" w:hAnsi="Arial" w:cs="Arial" w:eastAsia="Arial"/>
      <w:i/>
      <w:iCs/>
      <w:sz w:val="22"/>
      <w:szCs w:val="22"/>
    </w:rPr>
  </w:style>
  <w:style w:type="character" w:styleId="856" w:customStyle="1">
    <w:name w:val="Заголовок 9 Знак1"/>
    <w:basedOn w:val="778"/>
    <w:link w:val="826"/>
    <w:uiPriority w:val="9"/>
    <w:rPr>
      <w:rFonts w:ascii="Arial" w:hAnsi="Arial" w:cs="Arial" w:eastAsia="Arial"/>
      <w:i/>
      <w:iCs/>
      <w:sz w:val="21"/>
      <w:szCs w:val="21"/>
    </w:rPr>
  </w:style>
  <w:style w:type="character" w:styleId="857" w:customStyle="1">
    <w:name w:val="Title Char"/>
    <w:basedOn w:val="778"/>
    <w:uiPriority w:val="10"/>
    <w:rPr>
      <w:sz w:val="48"/>
      <w:szCs w:val="48"/>
    </w:rPr>
  </w:style>
  <w:style w:type="character" w:styleId="858" w:customStyle="1">
    <w:name w:val="Subtitle Char"/>
    <w:basedOn w:val="778"/>
    <w:uiPriority w:val="11"/>
    <w:rPr>
      <w:sz w:val="24"/>
      <w:szCs w:val="24"/>
    </w:rPr>
  </w:style>
  <w:style w:type="character" w:styleId="859" w:customStyle="1">
    <w:name w:val="Quote Char"/>
    <w:uiPriority w:val="29"/>
    <w:rPr>
      <w:i/>
    </w:rPr>
  </w:style>
  <w:style w:type="character" w:styleId="860" w:customStyle="1">
    <w:name w:val="Intense Quote Char"/>
    <w:uiPriority w:val="30"/>
    <w:rPr>
      <w:i/>
    </w:rPr>
  </w:style>
  <w:style w:type="character" w:styleId="861" w:customStyle="1">
    <w:name w:val="Верхний колонтитул Знак"/>
    <w:basedOn w:val="778"/>
    <w:link w:val="827"/>
    <w:uiPriority w:val="99"/>
  </w:style>
  <w:style w:type="character" w:styleId="862" w:customStyle="1">
    <w:name w:val="Нижний колонтитул Знак"/>
    <w:basedOn w:val="778"/>
    <w:link w:val="828"/>
    <w:uiPriority w:val="99"/>
  </w:style>
  <w:style w:type="character" w:styleId="863" w:customStyle="1">
    <w:name w:val="Footnote Text Char"/>
    <w:uiPriority w:val="99"/>
    <w:rPr>
      <w:sz w:val="18"/>
    </w:rPr>
  </w:style>
  <w:style w:type="paragraph" w:styleId="864" w:customStyle="1">
    <w:name w:val="Заголовок 11"/>
    <w:basedOn w:val="1036"/>
    <w:next w:val="1036"/>
    <w:link w:val="873"/>
    <w:rPr>
      <w:rFonts w:eastAsia="Batang"/>
      <w:b/>
      <w:sz w:val="32"/>
      <w:szCs w:val="20"/>
      <w:lang w:val="uk-UA"/>
    </w:rPr>
    <w:pPr>
      <w:jc w:val="center"/>
      <w:keepNext/>
      <w:outlineLvl w:val="0"/>
    </w:pPr>
  </w:style>
  <w:style w:type="paragraph" w:styleId="865" w:customStyle="1">
    <w:name w:val="Заголовок 21"/>
    <w:basedOn w:val="1036"/>
    <w:next w:val="1036"/>
    <w:link w:val="874"/>
    <w:rPr>
      <w:rFonts w:ascii="Arial" w:hAnsi="Arial" w:eastAsia="Batang"/>
      <w:b/>
      <w:bCs/>
      <w:i/>
      <w:iCs/>
      <w:sz w:val="28"/>
      <w:szCs w:val="28"/>
      <w:lang w:val="uk-UA"/>
    </w:rPr>
    <w:pPr>
      <w:keepNext/>
      <w:spacing w:after="60" w:before="240"/>
      <w:outlineLvl w:val="1"/>
    </w:pPr>
  </w:style>
  <w:style w:type="paragraph" w:styleId="866" w:customStyle="1">
    <w:name w:val="Заголовок 31"/>
    <w:link w:val="87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67" w:customStyle="1">
    <w:name w:val="Заголовок 41"/>
    <w:link w:val="87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68" w:customStyle="1">
    <w:name w:val="Заголовок 51"/>
    <w:link w:val="87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69" w:customStyle="1">
    <w:name w:val="Заголовок 61"/>
    <w:link w:val="87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70" w:customStyle="1">
    <w:name w:val="Заголовок 71"/>
    <w:link w:val="87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71" w:customStyle="1">
    <w:name w:val="Заголовок 81"/>
    <w:link w:val="88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872" w:customStyle="1">
    <w:name w:val="Заголовок 91"/>
    <w:link w:val="88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73" w:customStyle="1">
    <w:name w:val="Заголовок 1 Знак"/>
    <w:link w:val="864"/>
    <w:uiPriority w:val="9"/>
    <w:rPr>
      <w:rFonts w:ascii="Arial" w:hAnsi="Arial" w:cs="Arial" w:eastAsia="Arial"/>
      <w:sz w:val="40"/>
      <w:szCs w:val="40"/>
    </w:rPr>
  </w:style>
  <w:style w:type="character" w:styleId="874" w:customStyle="1">
    <w:name w:val="Заголовок 2 Знак"/>
    <w:link w:val="865"/>
    <w:uiPriority w:val="9"/>
    <w:rPr>
      <w:rFonts w:ascii="Arial" w:hAnsi="Arial" w:cs="Arial" w:eastAsia="Arial"/>
      <w:sz w:val="34"/>
    </w:rPr>
  </w:style>
  <w:style w:type="character" w:styleId="875" w:customStyle="1">
    <w:name w:val="Заголовок 3 Знак"/>
    <w:link w:val="866"/>
    <w:uiPriority w:val="9"/>
    <w:rPr>
      <w:rFonts w:ascii="Arial" w:hAnsi="Arial" w:cs="Arial" w:eastAsia="Arial"/>
      <w:sz w:val="30"/>
      <w:szCs w:val="30"/>
    </w:rPr>
  </w:style>
  <w:style w:type="character" w:styleId="876" w:customStyle="1">
    <w:name w:val="Заголовок 4 Знак"/>
    <w:link w:val="867"/>
    <w:uiPriority w:val="9"/>
    <w:rPr>
      <w:rFonts w:ascii="Arial" w:hAnsi="Arial" w:cs="Arial" w:eastAsia="Arial"/>
      <w:b/>
      <w:bCs/>
      <w:sz w:val="26"/>
      <w:szCs w:val="26"/>
    </w:rPr>
  </w:style>
  <w:style w:type="character" w:styleId="877" w:customStyle="1">
    <w:name w:val="Заголовок 5 Знак"/>
    <w:link w:val="868"/>
    <w:uiPriority w:val="9"/>
    <w:rPr>
      <w:rFonts w:ascii="Arial" w:hAnsi="Arial" w:cs="Arial" w:eastAsia="Arial"/>
      <w:b/>
      <w:bCs/>
      <w:sz w:val="24"/>
      <w:szCs w:val="24"/>
    </w:rPr>
  </w:style>
  <w:style w:type="character" w:styleId="878" w:customStyle="1">
    <w:name w:val="Заголовок 6 Знак"/>
    <w:link w:val="869"/>
    <w:uiPriority w:val="9"/>
    <w:rPr>
      <w:rFonts w:ascii="Arial" w:hAnsi="Arial" w:cs="Arial" w:eastAsia="Arial"/>
      <w:b/>
      <w:bCs/>
      <w:sz w:val="22"/>
      <w:szCs w:val="22"/>
    </w:rPr>
  </w:style>
  <w:style w:type="character" w:styleId="879" w:customStyle="1">
    <w:name w:val="Заголовок 7 Знак"/>
    <w:link w:val="87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80" w:customStyle="1">
    <w:name w:val="Заголовок 8 Знак"/>
    <w:link w:val="871"/>
    <w:uiPriority w:val="9"/>
    <w:rPr>
      <w:rFonts w:ascii="Arial" w:hAnsi="Arial" w:cs="Arial" w:eastAsia="Arial"/>
      <w:i/>
      <w:iCs/>
      <w:sz w:val="22"/>
      <w:szCs w:val="22"/>
    </w:rPr>
  </w:style>
  <w:style w:type="character" w:styleId="881" w:customStyle="1">
    <w:name w:val="Заголовок 9 Знак"/>
    <w:link w:val="872"/>
    <w:uiPriority w:val="9"/>
    <w:rPr>
      <w:rFonts w:ascii="Arial" w:hAnsi="Arial" w:cs="Arial" w:eastAsia="Arial"/>
      <w:i/>
      <w:iCs/>
      <w:sz w:val="21"/>
      <w:szCs w:val="21"/>
    </w:rPr>
  </w:style>
  <w:style w:type="paragraph" w:styleId="882">
    <w:name w:val="List Paragraph"/>
    <w:qFormat/>
    <w:uiPriority w:val="1"/>
    <w:pPr>
      <w:contextualSpacing w:val="true"/>
      <w:ind w:left="720"/>
    </w:pPr>
  </w:style>
  <w:style w:type="paragraph" w:styleId="883">
    <w:name w:val="No Spacing"/>
    <w:qFormat/>
    <w:uiPriority w:val="1"/>
  </w:style>
  <w:style w:type="paragraph" w:styleId="884">
    <w:name w:val="Title"/>
    <w:link w:val="88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85" w:customStyle="1">
    <w:name w:val="Название Знак"/>
    <w:link w:val="884"/>
    <w:uiPriority w:val="10"/>
    <w:rPr>
      <w:sz w:val="48"/>
      <w:szCs w:val="48"/>
    </w:rPr>
  </w:style>
  <w:style w:type="paragraph" w:styleId="886">
    <w:name w:val="Subtitle"/>
    <w:link w:val="887"/>
    <w:qFormat/>
    <w:uiPriority w:val="11"/>
    <w:rPr>
      <w:sz w:val="24"/>
      <w:szCs w:val="24"/>
    </w:rPr>
    <w:pPr>
      <w:spacing w:after="200" w:before="200"/>
    </w:pPr>
  </w:style>
  <w:style w:type="character" w:styleId="887" w:customStyle="1">
    <w:name w:val="Подзаголовок Знак"/>
    <w:link w:val="886"/>
    <w:uiPriority w:val="11"/>
    <w:rPr>
      <w:sz w:val="24"/>
      <w:szCs w:val="24"/>
    </w:rPr>
  </w:style>
  <w:style w:type="paragraph" w:styleId="888">
    <w:name w:val="Quote"/>
    <w:link w:val="889"/>
    <w:qFormat/>
    <w:uiPriority w:val="29"/>
    <w:rPr>
      <w:i/>
    </w:rPr>
    <w:pPr>
      <w:ind w:left="720" w:right="720"/>
    </w:pPr>
  </w:style>
  <w:style w:type="character" w:styleId="889" w:customStyle="1">
    <w:name w:val="Цитата 2 Знак"/>
    <w:link w:val="888"/>
    <w:uiPriority w:val="29"/>
    <w:rPr>
      <w:i/>
    </w:rPr>
  </w:style>
  <w:style w:type="paragraph" w:styleId="890">
    <w:name w:val="Intense Quote"/>
    <w:link w:val="89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91" w:customStyle="1">
    <w:name w:val="Выделенная цитата Знак"/>
    <w:link w:val="890"/>
    <w:uiPriority w:val="30"/>
    <w:rPr>
      <w:i/>
    </w:rPr>
  </w:style>
  <w:style w:type="paragraph" w:styleId="892" w:customStyle="1">
    <w:name w:val="Верхний колонтитул1"/>
    <w:link w:val="893"/>
    <w:unhideWhenUsed/>
    <w:pPr>
      <w:tabs>
        <w:tab w:val="center" w:pos="7143" w:leader="none"/>
        <w:tab w:val="right" w:pos="14287" w:leader="none"/>
      </w:tabs>
    </w:pPr>
  </w:style>
  <w:style w:type="character" w:styleId="893" w:customStyle="1">
    <w:name w:val="Верхній колонтитул Знак1"/>
    <w:link w:val="892"/>
  </w:style>
  <w:style w:type="paragraph" w:styleId="894" w:customStyle="1">
    <w:name w:val="Нижний колонтитул1"/>
    <w:link w:val="89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95" w:customStyle="1">
    <w:name w:val="Нижній колонтитул Знак"/>
    <w:link w:val="894"/>
    <w:uiPriority w:val="99"/>
  </w:style>
  <w:style w:type="table" w:styleId="89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Таблица проста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99" w:customStyle="1">
    <w:name w:val="Таблица проста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00" w:customStyle="1">
    <w:name w:val="Таблица проста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01" w:customStyle="1">
    <w:name w:val="Таблица проста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Таблица проста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903" w:customStyle="1">
    <w:name w:val="Таблица-сетка 1 светлая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 w:customStyle="1">
    <w:name w:val="Таблица-се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91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91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1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91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1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1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17" w:customStyle="1">
    <w:name w:val="Таблица-се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4" w:customStyle="1">
    <w:name w:val="Таблица-се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925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926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927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928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929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930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931" w:customStyle="1">
    <w:name w:val="Таблица-сетка 5 темная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932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933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934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935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936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937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938" w:customStyle="1">
    <w:name w:val="Таблица-сетка 6 цветная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39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940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941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942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943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44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45" w:customStyle="1">
    <w:name w:val="Таблица-сетк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46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947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48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949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50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951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952" w:customStyle="1">
    <w:name w:val="Список-таблица 1 светлая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95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5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95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95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95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5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59" w:customStyle="1">
    <w:name w:val="Список-таблица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6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96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96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96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6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6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66" w:customStyle="1">
    <w:name w:val="Список-таблица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7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8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9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0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1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2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3" w:customStyle="1">
    <w:name w:val="Список-таблица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4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5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6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7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8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9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0" w:customStyle="1">
    <w:name w:val="Список-таблица 5 темная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1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2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3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4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5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6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7" w:customStyle="1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8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8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9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9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9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9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94" w:customStyle="1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9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9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9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9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9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100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1001" w:customStyle="1">
    <w:name w:val="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1002" w:customStyle="1">
    <w:name w:val="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1003" w:customStyle="1">
    <w:name w:val="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1004" w:customStyle="1">
    <w:name w:val="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1005" w:customStyle="1">
    <w:name w:val="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1006" w:customStyle="1">
    <w:name w:val="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1007" w:customStyle="1">
    <w:name w:val="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1008" w:customStyle="1">
    <w:name w:val="Bordered &amp; 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1009" w:customStyle="1">
    <w:name w:val="Bordered &amp; 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1010" w:customStyle="1">
    <w:name w:val="Bordered &amp; 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1011" w:customStyle="1">
    <w:name w:val="Bordered &amp; 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1012" w:customStyle="1">
    <w:name w:val="Bordered &amp; 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1013" w:customStyle="1">
    <w:name w:val="Bordered &amp; 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1014" w:customStyle="1">
    <w:name w:val="Bordered &amp; 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101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101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101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101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101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102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102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1022">
    <w:name w:val="Hyperlink"/>
    <w:uiPriority w:val="99"/>
    <w:unhideWhenUsed/>
    <w:rPr>
      <w:color w:val="0000FF" w:themeColor="hyperlink"/>
      <w:u w:val="single"/>
    </w:rPr>
  </w:style>
  <w:style w:type="paragraph" w:styleId="1023">
    <w:name w:val="footnote text"/>
    <w:link w:val="1024"/>
    <w:uiPriority w:val="99"/>
    <w:semiHidden/>
    <w:unhideWhenUsed/>
    <w:rPr>
      <w:sz w:val="18"/>
    </w:rPr>
    <w:pPr>
      <w:spacing w:after="40"/>
    </w:pPr>
  </w:style>
  <w:style w:type="character" w:styleId="1024" w:customStyle="1">
    <w:name w:val="Текст сноски Знак"/>
    <w:link w:val="1023"/>
    <w:uiPriority w:val="99"/>
    <w:rPr>
      <w:sz w:val="18"/>
    </w:rPr>
  </w:style>
  <w:style w:type="character" w:styleId="1025">
    <w:name w:val="footnote reference"/>
    <w:uiPriority w:val="99"/>
    <w:unhideWhenUsed/>
    <w:rPr>
      <w:vertAlign w:val="superscript"/>
    </w:rPr>
  </w:style>
  <w:style w:type="paragraph" w:styleId="1026">
    <w:name w:val="toc 1"/>
    <w:uiPriority w:val="39"/>
    <w:unhideWhenUsed/>
    <w:pPr>
      <w:spacing w:after="57"/>
    </w:pPr>
  </w:style>
  <w:style w:type="paragraph" w:styleId="1027">
    <w:name w:val="toc 2"/>
    <w:uiPriority w:val="39"/>
    <w:unhideWhenUsed/>
    <w:pPr>
      <w:ind w:left="283"/>
      <w:spacing w:after="57"/>
    </w:pPr>
  </w:style>
  <w:style w:type="paragraph" w:styleId="1028">
    <w:name w:val="toc 3"/>
    <w:uiPriority w:val="39"/>
    <w:unhideWhenUsed/>
    <w:pPr>
      <w:ind w:left="567"/>
      <w:spacing w:after="57"/>
    </w:pPr>
  </w:style>
  <w:style w:type="paragraph" w:styleId="1029">
    <w:name w:val="toc 4"/>
    <w:uiPriority w:val="39"/>
    <w:unhideWhenUsed/>
    <w:pPr>
      <w:ind w:left="850"/>
      <w:spacing w:after="57"/>
    </w:pPr>
  </w:style>
  <w:style w:type="paragraph" w:styleId="1030">
    <w:name w:val="toc 5"/>
    <w:uiPriority w:val="39"/>
    <w:unhideWhenUsed/>
    <w:pPr>
      <w:ind w:left="1134"/>
      <w:spacing w:after="57"/>
    </w:pPr>
  </w:style>
  <w:style w:type="paragraph" w:styleId="1031">
    <w:name w:val="toc 6"/>
    <w:uiPriority w:val="39"/>
    <w:unhideWhenUsed/>
    <w:pPr>
      <w:ind w:left="1417"/>
      <w:spacing w:after="57"/>
    </w:pPr>
  </w:style>
  <w:style w:type="paragraph" w:styleId="1032">
    <w:name w:val="toc 7"/>
    <w:uiPriority w:val="39"/>
    <w:unhideWhenUsed/>
    <w:pPr>
      <w:ind w:left="1701"/>
      <w:spacing w:after="57"/>
    </w:pPr>
  </w:style>
  <w:style w:type="paragraph" w:styleId="1033">
    <w:name w:val="toc 8"/>
    <w:uiPriority w:val="39"/>
    <w:unhideWhenUsed/>
    <w:pPr>
      <w:ind w:left="1984"/>
      <w:spacing w:after="57"/>
    </w:pPr>
  </w:style>
  <w:style w:type="paragraph" w:styleId="1034">
    <w:name w:val="toc 9"/>
    <w:uiPriority w:val="39"/>
    <w:unhideWhenUsed/>
    <w:pPr>
      <w:ind w:left="2268"/>
      <w:spacing w:after="57"/>
    </w:pPr>
  </w:style>
  <w:style w:type="paragraph" w:styleId="1035">
    <w:name w:val="TOC Heading"/>
    <w:uiPriority w:val="39"/>
    <w:unhideWhenUsed/>
  </w:style>
  <w:style w:type="paragraph" w:styleId="1036" w:customStyle="1">
    <w:name w:val="Звичайний1"/>
    <w:rPr>
      <w:sz w:val="24"/>
      <w:szCs w:val="24"/>
      <w:lang w:val="ru-RU" w:bidi="ar-SA" w:eastAsia="ru-RU"/>
    </w:rPr>
  </w:style>
  <w:style w:type="character" w:styleId="1037" w:customStyle="1">
    <w:name w:val="Шрифт абзацу за замовчуванням1"/>
    <w:semiHidden/>
  </w:style>
  <w:style w:type="table" w:styleId="1038" w:customStyle="1">
    <w:name w:val="Звичайна таблиця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1039" w:customStyle="1">
    <w:name w:val="Немає списку1"/>
    <w:semiHidden/>
  </w:style>
  <w:style w:type="paragraph" w:styleId="1040" w:customStyle="1">
    <w:name w:val="Назва об'єкта1"/>
    <w:basedOn w:val="1036"/>
    <w:next w:val="1036"/>
    <w:rPr>
      <w:b/>
      <w:sz w:val="28"/>
      <w:szCs w:val="20"/>
      <w:lang w:val="uk-UA"/>
    </w:rPr>
    <w:pPr>
      <w:jc w:val="center"/>
    </w:pPr>
  </w:style>
  <w:style w:type="paragraph" w:styleId="1041" w:customStyle="1">
    <w:name w:val="Текст у виносці1"/>
    <w:basedOn w:val="1036"/>
    <w:semiHidden/>
    <w:rPr>
      <w:rFonts w:ascii="Tahoma" w:hAnsi="Tahoma"/>
      <w:sz w:val="16"/>
      <w:szCs w:val="16"/>
    </w:rPr>
  </w:style>
  <w:style w:type="paragraph" w:styleId="1042" w:customStyle="1">
    <w:name w:val="Знак Знак Знак Знак"/>
    <w:basedOn w:val="1036"/>
    <w:rPr>
      <w:rFonts w:ascii="Verdana" w:hAnsi="Verdana"/>
      <w:sz w:val="20"/>
      <w:szCs w:val="20"/>
      <w:lang w:val="en-US" w:eastAsia="en-US"/>
    </w:rPr>
  </w:style>
  <w:style w:type="character" w:styleId="1043" w:customStyle="1">
    <w:name w:val="Гіперпосилання1"/>
    <w:rPr>
      <w:color w:val="0000FF"/>
      <w:u w:val="single"/>
    </w:rPr>
  </w:style>
  <w:style w:type="paragraph" w:styleId="1044" w:customStyle="1">
    <w:name w:val="Знак1"/>
    <w:basedOn w:val="1036"/>
    <w:rPr>
      <w:rFonts w:ascii="Verdana" w:hAnsi="Verdana"/>
      <w:sz w:val="20"/>
      <w:szCs w:val="20"/>
      <w:lang w:val="uk-UA" w:eastAsia="en-US"/>
    </w:rPr>
  </w:style>
  <w:style w:type="character" w:styleId="1045">
    <w:name w:val="Strong"/>
    <w:qFormat/>
    <w:uiPriority w:val="22"/>
    <w:rPr>
      <w:b/>
      <w:bCs/>
    </w:rPr>
  </w:style>
  <w:style w:type="paragraph" w:styleId="1046" w:customStyle="1">
    <w:name w:val="Звичайний (веб)1"/>
    <w:basedOn w:val="1036"/>
    <w:pPr>
      <w:spacing w:after="100" w:afterAutospacing="1" w:before="100" w:beforeAutospacing="1"/>
    </w:pPr>
  </w:style>
  <w:style w:type="character" w:styleId="1047" w:customStyle="1">
    <w:name w:val="apple-converted-space"/>
    <w:basedOn w:val="1037"/>
  </w:style>
  <w:style w:type="paragraph" w:styleId="1048" w:customStyle="1">
    <w:name w:val="Верхній колонтитул1"/>
    <w:basedOn w:val="1036"/>
    <w:link w:val="1049"/>
    <w:rPr>
      <w:sz w:val="20"/>
      <w:szCs w:val="20"/>
      <w:lang w:val="uk-UA"/>
    </w:rPr>
    <w:pPr>
      <w:tabs>
        <w:tab w:val="center" w:pos="4153" w:leader="none"/>
        <w:tab w:val="right" w:pos="8306" w:leader="none"/>
      </w:tabs>
    </w:pPr>
  </w:style>
  <w:style w:type="character" w:styleId="1049" w:customStyle="1">
    <w:name w:val="Верхній колонтитул Знак"/>
    <w:link w:val="1048"/>
    <w:semiHidden/>
    <w:rPr>
      <w:lang w:val="uk-UA" w:bidi="ar-SA" w:eastAsia="ru-RU"/>
    </w:rPr>
  </w:style>
  <w:style w:type="paragraph" w:styleId="1050" w:customStyle="1">
    <w:name w:val="Стандартний HTML1"/>
    <w:basedOn w:val="1036"/>
    <w:link w:val="1051"/>
    <w:rPr>
      <w:rFonts w:ascii="Courier New" w:hAnsi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1051" w:customStyle="1">
    <w:name w:val="Стандартний HTML Знак"/>
    <w:link w:val="1050"/>
    <w:rPr>
      <w:rFonts w:ascii="Courier New" w:hAnsi="Courier New"/>
      <w:lang w:val="ru-RU" w:bidi="ar-SA" w:eastAsia="ru-RU"/>
    </w:rPr>
  </w:style>
  <w:style w:type="character" w:styleId="1052" w:customStyle="1">
    <w:name w:val="rvts23"/>
    <w:basedOn w:val="1037"/>
  </w:style>
  <w:style w:type="paragraph" w:styleId="1053" w:customStyle="1">
    <w:name w:val="Звичайний1"/>
    <w:rPr>
      <w:sz w:val="24"/>
      <w:szCs w:val="24"/>
      <w:lang w:bidi="ar-SA" w:eastAsia="ru-RU"/>
    </w:rPr>
  </w:style>
  <w:style w:type="paragraph" w:styleId="1054" w:customStyle="1">
    <w:name w:val="Основний текст з відступом1"/>
    <w:basedOn w:val="1036"/>
    <w:link w:val="1055"/>
    <w:rPr>
      <w:sz w:val="28"/>
      <w:szCs w:val="20"/>
      <w:lang w:val="uk-UA" w:bidi="en-US" w:eastAsia="en-US"/>
    </w:rPr>
    <w:pPr>
      <w:ind w:firstLine="567"/>
      <w:jc w:val="both"/>
    </w:pPr>
  </w:style>
  <w:style w:type="character" w:styleId="1055" w:customStyle="1">
    <w:name w:val="Основний текст з відступом Знак"/>
    <w:link w:val="1054"/>
    <w:rPr>
      <w:sz w:val="28"/>
      <w:lang w:bidi="en-US" w:eastAsia="en-US"/>
    </w:rPr>
  </w:style>
  <w:style w:type="paragraph" w:styleId="1056">
    <w:name w:val="Balloon Text"/>
    <w:basedOn w:val="777"/>
    <w:link w:val="1057"/>
    <w:uiPriority w:val="99"/>
    <w:semiHidden/>
    <w:unhideWhenUsed/>
    <w:rPr>
      <w:rFonts w:ascii="Tahoma" w:hAnsi="Tahoma" w:cs="Tahoma"/>
      <w:sz w:val="16"/>
      <w:szCs w:val="16"/>
    </w:rPr>
  </w:style>
  <w:style w:type="character" w:styleId="1057" w:customStyle="1">
    <w:name w:val="Текст выноски Знак"/>
    <w:basedOn w:val="778"/>
    <w:link w:val="1056"/>
    <w:uiPriority w:val="99"/>
    <w:semiHidden/>
    <w:rPr>
      <w:rFonts w:ascii="Tahoma" w:hAnsi="Tahoma" w:cs="Tahoma"/>
      <w:sz w:val="16"/>
      <w:szCs w:val="16"/>
    </w:rPr>
  </w:style>
  <w:style w:type="character" w:styleId="1058" w:customStyle="1">
    <w:name w:val="fontstyle01"/>
    <w:basedOn w:val="778"/>
    <w:rPr>
      <w:rFonts w:ascii="liberationserif-bold" w:hAnsi="liberationserif-bold" w:hint="default"/>
      <w:b/>
      <w:bCs/>
      <w:i w:val="false"/>
      <w:iCs w:val="false"/>
      <w:color w:val="000000"/>
      <w:sz w:val="32"/>
      <w:szCs w:val="32"/>
    </w:rPr>
  </w:style>
  <w:style w:type="character" w:styleId="1059" w:customStyle="1">
    <w:name w:val="fontstyle21"/>
    <w:basedOn w:val="778"/>
    <w:rPr>
      <w:rFonts w:ascii="liberationserif" w:hAnsi="liberationserif" w:hint="default"/>
      <w:b w:val="false"/>
      <w:bCs w:val="false"/>
      <w:i w:val="false"/>
      <w:iCs w:val="false"/>
      <w:color w:val="000000"/>
      <w:sz w:val="22"/>
      <w:szCs w:val="22"/>
    </w:rPr>
  </w:style>
  <w:style w:type="character" w:styleId="1060" w:customStyle="1">
    <w:name w:val="fontstyle31"/>
    <w:basedOn w:val="778"/>
    <w:rPr>
      <w:rFonts w:ascii="OpenSymbol" w:hAnsi="OpenSymbol" w:hint="default"/>
      <w:b w:val="false"/>
      <w:bCs w:val="false"/>
      <w:i w:val="false"/>
      <w:iCs w:val="false"/>
      <w:color w:val="000000"/>
      <w:sz w:val="28"/>
      <w:szCs w:val="28"/>
    </w:rPr>
  </w:style>
  <w:style w:type="character" w:styleId="1061">
    <w:name w:val="page number"/>
    <w:basedOn w:val="778"/>
  </w:style>
  <w:style w:type="paragraph" w:styleId="1062" w:customStyle="1">
    <w:name w:val="Footer"/>
    <w:basedOn w:val="777"/>
    <w:link w:val="1063"/>
    <w:rPr>
      <w:sz w:val="24"/>
      <w:szCs w:val="24"/>
      <w:lang w:bidi="ar-SA" w:eastAsia="ar-SA"/>
    </w:rPr>
    <w:pPr>
      <w:tabs>
        <w:tab w:val="center" w:pos="4677" w:leader="none"/>
        <w:tab w:val="right" w:pos="9355" w:leader="none"/>
      </w:tabs>
    </w:pPr>
  </w:style>
  <w:style w:type="character" w:styleId="1063" w:customStyle="1">
    <w:name w:val="Нижний колонтитул Знак1"/>
    <w:basedOn w:val="778"/>
    <w:link w:val="1062"/>
    <w:rPr>
      <w:sz w:val="24"/>
      <w:szCs w:val="24"/>
      <w:lang w:bidi="ar-SA" w:eastAsia="ar-SA"/>
    </w:rPr>
  </w:style>
  <w:style w:type="paragraph" w:styleId="1064" w:customStyle="1">
    <w:name w:val="Header"/>
    <w:basedOn w:val="777"/>
    <w:link w:val="1065"/>
    <w:rPr>
      <w:sz w:val="24"/>
      <w:szCs w:val="24"/>
      <w:lang w:bidi="ar-SA" w:eastAsia="ar-SA"/>
    </w:rPr>
    <w:pPr>
      <w:tabs>
        <w:tab w:val="center" w:pos="4677" w:leader="none"/>
        <w:tab w:val="right" w:pos="9355" w:leader="none"/>
      </w:tabs>
    </w:pPr>
  </w:style>
  <w:style w:type="character" w:styleId="1065" w:customStyle="1">
    <w:name w:val="Верхний колонтитул Знак1"/>
    <w:basedOn w:val="778"/>
    <w:link w:val="1064"/>
    <w:rPr>
      <w:sz w:val="24"/>
      <w:szCs w:val="24"/>
      <w:lang w:bidi="ar-SA" w:eastAsia="ar-SA"/>
    </w:rPr>
  </w:style>
  <w:style w:type="paragraph" w:styleId="1066" w:customStyle="1">
    <w:name w:val="Звичайний"/>
    <w:link w:val="1067"/>
    <w:rPr>
      <w:sz w:val="24"/>
      <w:szCs w:val="24"/>
      <w:lang w:val="ru-RU" w:bidi="ar-SA" w:eastAsia="ru-RU"/>
    </w:rPr>
  </w:style>
  <w:style w:type="paragraph" w:styleId="1067" w:customStyle="1">
    <w:name w:val="WW-Normal"/>
    <w:link w:val="1066"/>
    <w:rPr>
      <w:rFonts w:ascii="Arial" w:hAnsi="Arial"/>
      <w:color w:val="000000"/>
      <w:sz w:val="24"/>
      <w:szCs w:val="24"/>
      <w:lang w:val="ru-RU" w:bidi="ar-SA" w:eastAsia="zh-CN"/>
    </w:rPr>
  </w:style>
  <w:style w:type="paragraph" w:styleId="1068">
    <w:name w:val="Normal (Web)"/>
    <w:basedOn w:val="777"/>
    <w:uiPriority w:val="99"/>
    <w:unhideWhenUsed/>
    <w:rPr>
      <w:sz w:val="24"/>
      <w:szCs w:val="24"/>
      <w:lang w:val="ru-RU" w:bidi="ar-SA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Relationship Id="rId17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2D69AF30-F4EC-4DE2-A75A-3ECEAA3C4341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ПРИМАКОВ Геннадій Анатолійович</cp:lastModifiedBy>
  <cp:revision>14</cp:revision>
  <dcterms:created xsi:type="dcterms:W3CDTF">2021-11-30T06:26:00Z</dcterms:created>
  <dcterms:modified xsi:type="dcterms:W3CDTF">2023-05-01T14:34:05Z</dcterms:modified>
</cp:coreProperties>
</file>