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Додаток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623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до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рішення 32 сесії Менської міської ради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8 скликання </w:t>
      </w:r>
      <w:r>
        <w:rPr>
          <w:rFonts w:ascii="Times New Roman" w:hAnsi="Times New Roman" w:cs="Times New Roman" w:eastAsia="Times New Roman"/>
        </w:rPr>
      </w:r>
      <w:r/>
    </w:p>
    <w:p>
      <w:pPr>
        <w:ind w:left="623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24 березня 2023 року №136</w:t>
      </w:r>
      <w:r>
        <w:rPr>
          <w:rFonts w:ascii="Times New Roman" w:hAnsi="Times New Roman" w:cs="Times New Roman" w:eastAsia="Times New Roman"/>
        </w:rPr>
      </w:r>
      <w:r/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Параметри </w:t>
      </w:r>
      <w:r>
        <w:rPr>
          <w:rFonts w:ascii="Times New Roman" w:hAnsi="Times New Roman" w:cs="Times New Roman" w:eastAsia="Times New Roman"/>
        </w:rPr>
      </w:r>
      <w:r/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Ш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кільного громадського бюджету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в закладах загальної середньої освіти </w:t>
      </w:r>
      <w:r>
        <w:rPr>
          <w:rFonts w:ascii="Times New Roman" w:hAnsi="Times New Roman" w:cs="Times New Roman" w:eastAsia="Times New Roman"/>
        </w:rPr>
      </w:r>
      <w:r/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ради на 202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 w:eastAsia="Times New Roman"/>
        </w:rPr>
      </w:r>
      <w:r/>
    </w:p>
    <w:p>
      <w:pPr>
        <w:ind w:left="360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tabs>
          <w:tab w:val="right" w:pos="830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Загальний бюджет конкурсу шкільних громадських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закладах загальної середньої освіти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 на 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укладеного Меморандуму в межах Швейцарсько-українського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DECIDE – «Децентралізація для розвитку демократичної освіти»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складає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053 000 грн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від загально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бюджету конкурсу фінансується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 рахунок коштів гранту, який надається в ме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жах Швейцарсько-українського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DECIDE – «Децентралізація для розвитку демократичної освіти»;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 менше 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від загально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 бюджету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конкурсу фінансується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бюджету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територіальної громади.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851"/>
        <w:jc w:val="both"/>
        <w:spacing w:lineRule="auto" w:line="240" w:after="0" w:afterAutospacing="0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0"/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216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Модель проведення конкурсу: загальний конкурс з застосуванням вагових коефіцієнтів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пропорційно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кількості учнів. Кількість голосів жителів громади, відданих за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реалізацію якого заплановано в конкретному закладі загальної середньої освіти Менської мі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ської ради (далі – ЗЗСО), помножується на ваговий коефіцієнт даного ЗЗСО. Ваговий коефіцієнт відображає співвідношення загальної кількості учнів та учениць 5-11 класів усіх ЗЗСО громади до кількості учнів та учениць 5-11 класів даного ЗЗСО. (Методика розра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хунку вагового коефіцієнта додається). </w:t>
      </w:r>
      <w:r>
        <w:rPr>
          <w:rFonts w:ascii="Times New Roman" w:hAnsi="Times New Roman" w:cs="Times New Roman" w:eastAsia="Times New Roman"/>
        </w:rPr>
      </w:r>
      <w:r/>
    </w:p>
    <w:p>
      <w:pPr>
        <w:ind w:left="851"/>
        <w:jc w:val="both"/>
        <w:spacing w:lineRule="auto" w:line="240" w:after="0" w:afterAutospacing="0"/>
        <w:tabs>
          <w:tab w:val="left" w:pos="1080" w:leader="none"/>
          <w:tab w:val="left" w:pos="2160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0"/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center" w:pos="851" w:leader="none"/>
          <w:tab w:val="right" w:pos="830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артість одного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складає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351 000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,00 грн.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триста п'ятдесят одна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тисяча грн.)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-переможці, не більше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-переможця в одному ЗЗСО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center" w:pos="993" w:leader="none"/>
          <w:tab w:val="right" w:pos="830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Максимальна кількість команд від одного ЗЗСО - 1 (одна), 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акси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мальна кількість поданих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заявок однією командою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 (одна)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tabs>
          <w:tab w:val="center" w:pos="4153" w:leader="none"/>
          <w:tab w:val="right" w:pos="830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Кількість голосів у кожного жителя громади: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3 (трьох).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tabs>
          <w:tab w:val="left" w:pos="21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jc w:val="both"/>
        <w:spacing w:lineRule="auto" w:line="240" w:after="0" w:afterAutospacing="0"/>
        <w:tabs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Категорії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Створення нового освітнього простору в школі та громаді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Фізична культура, спорт, здоров’я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Культура та мистецтво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Безпечний простір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Інноваційні технології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Екологія та захист навколишнього середовища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Рівні права - рівні можливості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Наука та просвіта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Терміни початку й завершення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 - з 10 квітня  до 7 травня 2023 року.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tabs>
          <w:tab w:val="left" w:pos="851" w:leader="none"/>
          <w:tab w:val="left" w:pos="216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Терміни проведення аналізу поданих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проєктних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заявок та їх доопрацювання командами -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08 травня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21 травня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2023 року.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tabs>
          <w:tab w:val="left" w:pos="851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Терміни початку і завершення голосування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22 травня до 4 червня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2023 року.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 визначення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-переможців: до 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6 червня 2023 року.</w:t>
      </w:r>
      <w:r>
        <w:rPr>
          <w:rFonts w:ascii="Times New Roman" w:hAnsi="Times New Roman" w:cs="Times New Roman" w:eastAsia="Times New Roman"/>
        </w:rPr>
      </w:r>
      <w:r/>
    </w:p>
    <w:p>
      <w:pPr>
        <w:ind w:left="1440"/>
        <w:jc w:val="both"/>
        <w:spacing w:lineRule="auto" w:line="240" w:after="0" w:afterAutospacing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5"/>
        </w:numPr>
        <w:ind w:left="0" w:firstLine="567"/>
        <w:jc w:val="both"/>
        <w:spacing w:lineRule="auto" w:line="240" w:after="0" w:afterAutospacing="0"/>
        <w:tabs>
          <w:tab w:val="left" w:pos="993" w:leader="none"/>
          <w:tab w:val="left" w:pos="127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Роз’яснення до категорій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проєктів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Створення нового освітнього простору в школі та громаді: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коворкінг (наприклад, для популяризації робітничих професій, STEM-освіти, шкільного соціального підприємництва тощо), молодіжні центри/хаби, зо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 дозвілля.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Фізична культура, спорт, здоров’я: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спрямовані на започаткування проведення фізкультурно-спортивних щорічних заходів або заходів з популяризації здорового способу життя, створення зон для зайняття фізкультурою, спортом та туризмом, ін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шими корисними для здоров’я та фізичного стану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активностями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Культура та мистецтво: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спрямовані на популяризацію та  розвиток творчості, культурне дозвілля та естетичний розвиток.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Безпечний простір: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спрямовані на створення/облаштування комфортного безпекового середовища,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укриттів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створення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коворкінгів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базі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укриттів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їх наповнення тощо. 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Інноваційні технології: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спрямовані на популяризацію інноваційних технологій (зокрема STEM,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програмування застосунків).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Екологія та захист навколишнього середовища: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екологічного спрямування (з популяризації свідомого споживання, поводження з побутовими відходами, енергозбереження, захисту тварин, тощо).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Рівні права - рівні можливості: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спрямовані на підвищення обізнаності щодо прав людини та демократії, зокрема відповідального громадянства, інклюзії  (наприклад, з толерантного ставлення до людей з інвалідністю, представників різних етнічних та інших груп, протидія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булінгу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розвиток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емпатії, зокрема до людей, які потрапили в скрутні життєві обставини,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активностей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що сприяє більшій доступності шкіл та інших об’єктів інфраструктури громади для людей з інвалідністю тощо).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Наука та просвіта: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спрямовані на популяризацію науково-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дослідницької діяльності (наприклад, створення гуртків, проведення науково-просвітницьких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активностей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  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left"/>
        <w:spacing w:lineRule="auto" w:line="240" w:after="0" w:afterAutospacing="0"/>
        <w:tabs>
          <w:tab w:val="left" w:pos="6803" w:leader="none"/>
          <w:tab w:val="left" w:pos="694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Начальник Відділу освіти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/>
    </w:p>
    <w:p>
      <w:pPr>
        <w:jc w:val="left"/>
        <w:spacing w:lineRule="auto" w:line="240" w:after="0" w:afterAutospacing="0"/>
        <w:tabs>
          <w:tab w:val="left" w:pos="6803" w:leader="none"/>
          <w:tab w:val="left" w:pos="694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shd w:val="nil" w:color="auto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  <w:r/>
    </w:p>
    <w:p>
      <w:pPr>
        <w:ind w:firstLine="6237"/>
        <w:spacing w:lineRule="auto" w:line="240" w:after="0" w:afterAutospacing="0"/>
        <w:rPr>
          <w:rFonts w:ascii="Times New Roman" w:hAnsi="Times New Roman" w:cs="Times New Roman" w:eastAsia="Times New Roman"/>
          <w:sz w:val="26"/>
          <w:szCs w:val="26"/>
          <w:highlight w:val="none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Додаток</w:t>
      </w:r>
      <w:r>
        <w:rPr>
          <w:rFonts w:ascii="Times New Roman" w:hAnsi="Times New Roman" w:cs="Times New Roman" w:eastAsia="Times New Roman"/>
        </w:rPr>
      </w:r>
      <w:r/>
    </w:p>
    <w:p>
      <w:pPr>
        <w:ind w:left="6237"/>
        <w:spacing w:lineRule="auto" w:line="240" w:after="0" w:afterAutospacing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до Параметрів конкурсу шкільних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проєктів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в закладах загальної середньої освіти Менської міської ради на 2023 рік</w:t>
      </w:r>
      <w:r>
        <w:rPr>
          <w:rFonts w:ascii="Times New Roman" w:hAnsi="Times New Roman" w:cs="Times New Roman" w:eastAsia="Times New Roman"/>
        </w:rPr>
      </w:r>
      <w:r/>
    </w:p>
    <w:p>
      <w:pPr>
        <w:ind w:left="6237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Методика розрахунку вагового коефіцієнта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забезпечення рівних умов участі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проєктів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різних ЗЗСО з різною кількістю учнів та учениць 5-11 класів введено ваговий коефіцієнт і формулу для обчислення остаточного балу за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Ваговий коефіцієнт (ВК),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алежності від кількості учнів та учениць 5-11 класів, обчислюється за формулою: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</w:rPr>
      </w:r>
      <m:oMathPara>
        <m:oMathParaPr/>
        <m:oMath>
          <m:r>
            <w:rPr>
              <w:rFonts w:ascii="Cambria Math" w:hAnsi="Cambria Math" w:cs="Cambria Math" w:eastAsia="Cambria Math" w:hint="default"/>
              <w:sz w:val="26"/>
              <w:szCs w:val="26"/>
            </w:rPr>
            <m:rPr/>
            <m:t>ВК= </m:t>
          </m:r>
          <m:f>
            <m:fPr>
              <m:ctrlPr>
                <w:rPr>
                  <w:rFonts w:ascii="Cambria Math" w:hAnsi="Cambria Math" w:cs="Cambria Math" w:eastAsia="Cambria Math"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Cambria Math" w:eastAsia="Cambria Math" w:hint="default"/>
                  <w:sz w:val="26"/>
                  <w:szCs w:val="26"/>
                </w:rPr>
                <m:rPr/>
                <m:t>Кількість учнів та учениць 5-11 класів всіх ЗЗСО</m:t>
              </m:r>
            </m:num>
            <m:den>
              <m:r>
                <w:rPr>
                  <w:rFonts w:ascii="Cambria Math" w:hAnsi="Cambria Math" w:cs="Cambria Math" w:eastAsia="Cambria Math" w:hint="default"/>
                  <w:sz w:val="26"/>
                  <w:szCs w:val="26"/>
                </w:rPr>
                <m:rPr/>
                <m:t>Кількість учнів та учениць 5-11 класів конкретного ЗЗСО</m:t>
              </m:r>
            </m:den>
          </m:f>
          <m:r>
            <w:rPr>
              <w:rFonts w:ascii="Cambria Math" w:hAnsi="Cambria Math" w:cs="Cambria Math" w:eastAsia="Cambria Math" w:hint="default"/>
              <w:sz w:val="26"/>
              <w:szCs w:val="26"/>
            </w:rPr>
            <m:rPr/>
            <m:t>;</m:t>
          </m:r>
        </m:oMath>
      </m:oMathPara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Остаточний бал (ОБ)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розраховується за формулою: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ОБ= (кількість голосів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* </w:t>
      </w:r>
      <m:oMath>
        <m:rad>
          <m:radPr>
            <m:degHide m:val="on"/>
            <m:ctrlPr>
              <w:rPr>
                <w:rFonts w:ascii="Cambria Math" w:hAnsi="Cambria Math" w:cs="Cambria Math" w:eastAsia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Cambria Math" w:eastAsia="Cambria Math" w:hint="default"/>
              </w:rPr>
              <m:rPr/>
              <m:t/>
            </m:r>
          </m:deg>
          <m:e>
            <m:r>
              <w:rPr>
                <w:rFonts w:ascii="Cambria Math" w:hAnsi="Cambria Math" w:cs="Cambria Math" w:eastAsia="Cambria Math" w:hint="default"/>
                <w:sz w:val="28"/>
                <w:szCs w:val="28"/>
              </w:rPr>
              <m:rPr/>
              <m:t>ВК</m:t>
            </m:r>
          </m:e>
        </m:rad>
      </m:oMath>
      <w:r>
        <w:rPr>
          <w:rFonts w:ascii="Times New Roman" w:hAnsi="Times New Roman" w:cs="Times New Roman" w:eastAsia="Times New Roman"/>
          <w:sz w:val="28"/>
          <w:szCs w:val="28"/>
        </w:rPr>
        <w:t xml:space="preserve"> .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Нижче наведені розрахунки квадратного кореня вагового коефіцієнту по всім ЗЗСО: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Всього учнів та учениць 5-11 класів у закладах загальної середньої освіти 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ради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1606 особи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Style w:val="860"/>
        <w:tblW w:w="9584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5071"/>
        <w:gridCol w:w="1269"/>
        <w:gridCol w:w="1269"/>
        <w:gridCol w:w="1409"/>
      </w:tblGrid>
      <w:tr>
        <w:trPr>
          <w:trHeight w:val="12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Найменування ЗЗСО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textDirection w:val="lrTb"/>
            <w:noWrap w:val="false"/>
          </w:tcPr>
          <w:p>
            <w:pPr>
              <w:ind w:right="-12" w:hanging="83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Кількість учнів та учениць 5-11 класів в ЗЗСО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6" w:space="0"/>
            </w:tcBorders>
            <w:tcW w:w="1269" w:type="dxa"/>
            <w:textDirection w:val="lrTb"/>
            <w:noWrap w:val="false"/>
          </w:tcPr>
          <w:p>
            <w:pPr>
              <w:ind w:left="-115" w:right="-108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Ваговий коефіцієнт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09" w:type="dxa"/>
            <w:textDirection w:val="lrTb"/>
            <w:noWrap w:val="false"/>
          </w:tcPr>
          <w:p>
            <w:pPr>
              <w:ind w:left="-115" w:right="-13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Квадратний корінь вагового коефіцієнта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Блистівський</w:t>
            </w:r>
            <w:r>
              <w:rPr>
                <w:rFonts w:ascii="Times New Roman" w:hAnsi="Times New Roman" w:cs="Times New Roman" w:eastAsia="Times New Roman"/>
              </w:rPr>
              <w:t xml:space="preserve"> заклад загальної середньої освіти І-ІІІ ступенів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73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22,0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4,69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Дягівський</w:t>
            </w:r>
            <w:r>
              <w:rPr>
                <w:rFonts w:ascii="Times New Roman" w:hAnsi="Times New Roman" w:cs="Times New Roman" w:eastAsia="Times New Roman"/>
              </w:rPr>
              <w:t xml:space="preserve">  заклад загальної середньої освіти І-ІІІ ступенів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79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20,3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4,51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Киселівський</w:t>
            </w:r>
            <w:r>
              <w:rPr>
                <w:rFonts w:ascii="Times New Roman" w:hAnsi="Times New Roman" w:cs="Times New Roman" w:eastAsia="Times New Roman"/>
              </w:rPr>
              <w:t xml:space="preserve">  заклад загальної середньої освіти І-ІІІ ступенів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28,7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5,36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Макошинський</w:t>
            </w:r>
            <w:r>
              <w:rPr>
                <w:rFonts w:ascii="Times New Roman" w:hAnsi="Times New Roman" w:cs="Times New Roman" w:eastAsia="Times New Roman"/>
              </w:rPr>
              <w:t xml:space="preserve">  заклад загальної середньої освіти І-ІІІ ступенів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109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14,7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3,84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50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Менський опорний  заклад загальної середньої освіти І-ІІІ ступенів </w:t>
            </w:r>
            <w:r>
              <w:rPr>
                <w:rFonts w:ascii="Times New Roman" w:hAnsi="Times New Roman" w:cs="Times New Roman" w:eastAsia="Times New Roman"/>
              </w:rPr>
              <w:t xml:space="preserve">ім.Т.Г.Шевченка</w:t>
            </w:r>
            <w:r>
              <w:rPr>
                <w:rFonts w:ascii="Times New Roman" w:hAnsi="Times New Roman" w:cs="Times New Roman" w:eastAsia="Times New Roman"/>
              </w:rPr>
              <w:t xml:space="preserve"> Менської міської ради + </w:t>
            </w:r>
            <w:r>
              <w:rPr>
                <w:rFonts w:ascii="Times New Roman" w:hAnsi="Times New Roman" w:cs="Times New Roman" w:eastAsia="Times New Roman"/>
              </w:rPr>
              <w:t xml:space="preserve">Лісківська</w:t>
            </w:r>
            <w:r>
              <w:rPr>
                <w:rFonts w:ascii="Times New Roman" w:hAnsi="Times New Roman" w:cs="Times New Roman" w:eastAsia="Times New Roman"/>
              </w:rPr>
              <w:t xml:space="preserve"> філія І-ІІ ступенів Менського опорн</w:t>
            </w:r>
            <w:r>
              <w:rPr>
                <w:rFonts w:ascii="Times New Roman" w:hAnsi="Times New Roman" w:cs="Times New Roman" w:eastAsia="Times New Roman"/>
              </w:rPr>
              <w:t xml:space="preserve">ого  закладу загальної середньої освіти І-ІІІ ступенів ім. </w:t>
            </w:r>
            <w:r>
              <w:rPr>
                <w:rFonts w:ascii="Times New Roman" w:hAnsi="Times New Roman" w:cs="Times New Roman" w:eastAsia="Times New Roman"/>
              </w:rPr>
              <w:t xml:space="preserve">Т.Г.Шевченка</w:t>
            </w:r>
            <w:r>
              <w:rPr>
                <w:rFonts w:ascii="Times New Roman" w:hAnsi="Times New Roman" w:cs="Times New Roman" w:eastAsia="Times New Roman"/>
              </w:rPr>
              <w:t xml:space="preserve">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525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3,1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1,75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Опорний заклад Менська гімназія Менської міської ради +</w:t>
            </w:r>
            <w:r>
              <w:rPr>
                <w:rFonts w:ascii="Times New Roman" w:hAnsi="Times New Roman" w:cs="Times New Roman" w:eastAsia="Times New Roman"/>
              </w:rPr>
              <w:t xml:space="preserve">Бірківська</w:t>
            </w:r>
            <w:r>
              <w:rPr>
                <w:rFonts w:ascii="Times New Roman" w:hAnsi="Times New Roman" w:cs="Times New Roman" w:eastAsia="Times New Roman"/>
              </w:rPr>
              <w:t xml:space="preserve"> філія І-ІІ ступенів Опорного закладу Менська гімназія Менської міської ради, </w:t>
            </w:r>
            <w:r>
              <w:rPr>
                <w:rFonts w:ascii="Times New Roman" w:hAnsi="Times New Roman" w:cs="Times New Roman" w:eastAsia="Times New Roman"/>
              </w:rPr>
              <w:t xml:space="preserve">Величківська</w:t>
            </w:r>
            <w:r>
              <w:rPr>
                <w:rFonts w:ascii="Times New Roman" w:hAnsi="Times New Roman" w:cs="Times New Roman" w:eastAsia="Times New Roman"/>
              </w:rPr>
              <w:t xml:space="preserve"> філія І-ІІ </w:t>
            </w:r>
            <w:r>
              <w:rPr>
                <w:rFonts w:ascii="Times New Roman" w:hAnsi="Times New Roman" w:cs="Times New Roman" w:eastAsia="Times New Roman"/>
              </w:rPr>
              <w:t xml:space="preserve">ступенівОпорного</w:t>
            </w:r>
            <w:r>
              <w:rPr>
                <w:rFonts w:ascii="Times New Roman" w:hAnsi="Times New Roman" w:cs="Times New Roman" w:eastAsia="Times New Roman"/>
              </w:rPr>
              <w:t xml:space="preserve"> закладу Менська гімназія Менської міської ради, </w:t>
            </w:r>
            <w:r>
              <w:rPr>
                <w:rFonts w:ascii="Times New Roman" w:hAnsi="Times New Roman" w:cs="Times New Roman" w:eastAsia="Times New Roman"/>
              </w:rPr>
              <w:t xml:space="preserve">Куковицька</w:t>
            </w:r>
            <w:r>
              <w:rPr>
                <w:rFonts w:ascii="Times New Roman" w:hAnsi="Times New Roman" w:cs="Times New Roman" w:eastAsia="Times New Roman"/>
              </w:rPr>
              <w:t xml:space="preserve"> філія І ступе</w:t>
            </w:r>
            <w:r>
              <w:rPr>
                <w:rFonts w:ascii="Times New Roman" w:hAnsi="Times New Roman" w:cs="Times New Roman" w:eastAsia="Times New Roman"/>
              </w:rPr>
              <w:t xml:space="preserve">ня Опорного закладу Менська гімназія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451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3,6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1,89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Покровський заклад загальної середньої освіти І-ІІІ ступенів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27,7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5,26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Синявський</w:t>
            </w:r>
            <w:r>
              <w:rPr>
                <w:rFonts w:ascii="Times New Roman" w:hAnsi="Times New Roman" w:cs="Times New Roman" w:eastAsia="Times New Roman"/>
              </w:rPr>
              <w:t xml:space="preserve"> заклад загальної середньої освіти І-ІІІ ступенів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24,3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4,93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Стольненський</w:t>
            </w:r>
            <w:r>
              <w:rPr>
                <w:rFonts w:ascii="Times New Roman" w:hAnsi="Times New Roman" w:cs="Times New Roman" w:eastAsia="Times New Roman"/>
              </w:rPr>
              <w:t xml:space="preserve"> заклад загальної середньої освіти І-ІІІ ступенів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16,4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4,05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Волосківська</w:t>
            </w:r>
            <w:r>
              <w:rPr>
                <w:rFonts w:ascii="Times New Roman" w:hAnsi="Times New Roman" w:cs="Times New Roman" w:eastAsia="Times New Roman"/>
              </w:rPr>
              <w:t xml:space="preserve"> гімназія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45,9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6,77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66" w:type="dxa"/>
            <w:textDirection w:val="lrTb"/>
            <w:noWrap w:val="false"/>
          </w:tcPr>
          <w:p>
            <w:pPr>
              <w:ind w:right="-115" w:hanging="115"/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07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Феськівська</w:t>
            </w:r>
            <w:r>
              <w:rPr>
                <w:rFonts w:ascii="Times New Roman" w:hAnsi="Times New Roman" w:cs="Times New Roman" w:eastAsia="Times New Roman"/>
              </w:rPr>
              <w:t xml:space="preserve"> гімназія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2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28,7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0" w:type="dxa"/>
              <w:top w:w="0" w:type="dxa"/>
              <w:right w:w="40" w:type="dxa"/>
              <w:bottom w:w="0" w:type="dxa"/>
            </w:tcMar>
            <w:tcW w:w="140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5,36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left"/>
        <w:spacing w:lineRule="auto" w:line="240" w:after="0" w:afterAutospacing="0"/>
        <w:tabs>
          <w:tab w:val="left" w:pos="6803" w:leader="none"/>
          <w:tab w:val="left" w:pos="6945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Начальник Відділу освіти</w:t>
      </w:r>
      <w:r/>
    </w:p>
    <w:p>
      <w:pPr>
        <w:jc w:val="left"/>
        <w:spacing w:lineRule="auto" w:line="240" w:after="0" w:afterAutospacing="0"/>
        <w:tabs>
          <w:tab w:val="left" w:pos="6803" w:leader="none"/>
          <w:tab w:val="left" w:pos="6945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Менської міської ради</w:t>
        <w:tab/>
        <w:t xml:space="preserve">Ірина ЛУК’ЯНЕНКО</w:t>
      </w:r>
      <w:r>
        <w:rPr>
          <w:rFonts w:ascii="Times New Roman" w:hAnsi="Times New Roman" w:cs="Times New Roman" w:eastAsia="Times New Roman"/>
          <w:b w:val="false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noto sans symbols">
    <w:panose1 w:val="02070409020205020404"/>
  </w:font>
  <w:font w:name="Courier New">
    <w:panose1 w:val="02070309020205020404"/>
  </w:font>
  <w:font w:name="Georgia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spacing w:lineRule="auto" w:line="240" w:after="0"/>
      <w:tabs>
        <w:tab w:val="center" w:pos="4677" w:leader="none"/>
        <w:tab w:val="right" w:pos="9355" w:leader="none"/>
      </w:tabs>
      <w:rPr>
        <w:rFonts w:ascii="Times New Roman" w:hAnsi="Times New Roman" w:cs="Times New Roman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rFonts w:ascii="Times New Roman" w:hAnsi="Times New Roman" w:cs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/>
      <w:tabs>
        <w:tab w:val="center" w:pos="4677" w:leader="none"/>
        <w:tab w:val="right" w:pos="9355" w:leader="none"/>
      </w:tabs>
      <w:rPr>
        <w:rFonts w:eastAsia="Calibri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rFonts w:eastAsia="Calibri"/>
      </w:rPr>
    </w:r>
    <w:r/>
  </w:p>
  <w:p>
    <w:pPr>
      <w:spacing w:lineRule="auto" w:line="240" w:after="0"/>
      <w:tabs>
        <w:tab w:val="center" w:pos="4677" w:leader="none"/>
        <w:tab w:val="right" w:pos="9355" w:leader="none"/>
      </w:tabs>
      <w:rPr>
        <w:rFonts w:eastAsia="Calibri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rFonts w:eastAsia="Calibri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36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08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52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24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687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1080"/>
      </w:pPr>
      <w:rPr>
        <w:strike w:val="false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1080"/>
      </w:pPr>
      <w:rPr>
        <w:strike w:val="false"/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900"/>
      </w:pPr>
      <w:rPr>
        <w:strike w:val="false"/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1080"/>
      </w:pPr>
      <w:rPr>
        <w:strike w:val="false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1080"/>
      </w:pPr>
      <w:rPr>
        <w:strike w:val="false"/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900"/>
      </w:pPr>
      <w:rPr>
        <w:strike w:val="false"/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1080"/>
      </w:pPr>
      <w:rPr>
        <w:strike w:val="false"/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1080"/>
      </w:pPr>
      <w:rPr>
        <w:strike w:val="false"/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900"/>
      </w:pPr>
      <w:rPr>
        <w:strike w:val="false"/>
        <w:u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506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226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946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66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86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106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826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546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842"/>
    <w:link w:val="836"/>
    <w:uiPriority w:val="9"/>
    <w:rPr>
      <w:rFonts w:ascii="Arial" w:hAnsi="Arial" w:cs="Arial" w:eastAsia="Arial"/>
      <w:sz w:val="40"/>
      <w:szCs w:val="40"/>
    </w:rPr>
  </w:style>
  <w:style w:type="character" w:styleId="669">
    <w:name w:val="Heading 2 Char"/>
    <w:basedOn w:val="842"/>
    <w:link w:val="837"/>
    <w:uiPriority w:val="9"/>
    <w:rPr>
      <w:rFonts w:ascii="Arial" w:hAnsi="Arial" w:cs="Arial" w:eastAsia="Arial"/>
      <w:sz w:val="34"/>
    </w:rPr>
  </w:style>
  <w:style w:type="character" w:styleId="670">
    <w:name w:val="Heading 3 Char"/>
    <w:basedOn w:val="842"/>
    <w:link w:val="838"/>
    <w:uiPriority w:val="9"/>
    <w:rPr>
      <w:rFonts w:ascii="Arial" w:hAnsi="Arial" w:cs="Arial" w:eastAsia="Arial"/>
      <w:sz w:val="30"/>
      <w:szCs w:val="30"/>
    </w:rPr>
  </w:style>
  <w:style w:type="character" w:styleId="671">
    <w:name w:val="Heading 4 Char"/>
    <w:basedOn w:val="842"/>
    <w:link w:val="83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>
    <w:name w:val="Heading 5 Char"/>
    <w:basedOn w:val="842"/>
    <w:link w:val="84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>
    <w:name w:val="Heading 6 Char"/>
    <w:basedOn w:val="842"/>
    <w:link w:val="841"/>
    <w:uiPriority w:val="9"/>
    <w:rPr>
      <w:rFonts w:ascii="Arial" w:hAnsi="Arial" w:cs="Arial" w:eastAsia="Arial"/>
      <w:b/>
      <w:bCs/>
      <w:sz w:val="22"/>
      <w:szCs w:val="22"/>
    </w:rPr>
  </w:style>
  <w:style w:type="paragraph" w:styleId="674">
    <w:name w:val="Heading 7"/>
    <w:basedOn w:val="835"/>
    <w:next w:val="835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5">
    <w:name w:val="Heading 7 Char"/>
    <w:basedOn w:val="842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6">
    <w:name w:val="Heading 8"/>
    <w:basedOn w:val="835"/>
    <w:next w:val="835"/>
    <w:link w:val="6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7">
    <w:name w:val="Heading 8 Char"/>
    <w:basedOn w:val="842"/>
    <w:link w:val="676"/>
    <w:uiPriority w:val="9"/>
    <w:rPr>
      <w:rFonts w:ascii="Arial" w:hAnsi="Arial" w:cs="Arial" w:eastAsia="Arial"/>
      <w:i/>
      <w:iCs/>
      <w:sz w:val="22"/>
      <w:szCs w:val="22"/>
    </w:rPr>
  </w:style>
  <w:style w:type="paragraph" w:styleId="678">
    <w:name w:val="Heading 9"/>
    <w:basedOn w:val="835"/>
    <w:next w:val="835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>
    <w:name w:val="Heading 9 Char"/>
    <w:basedOn w:val="842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No Spacing"/>
    <w:qFormat/>
    <w:uiPriority w:val="1"/>
    <w:pPr>
      <w:spacing w:lineRule="auto" w:line="240" w:after="0" w:before="0"/>
    </w:pPr>
  </w:style>
  <w:style w:type="character" w:styleId="681">
    <w:name w:val="Title Char"/>
    <w:basedOn w:val="842"/>
    <w:link w:val="846"/>
    <w:uiPriority w:val="10"/>
    <w:rPr>
      <w:sz w:val="48"/>
      <w:szCs w:val="48"/>
    </w:rPr>
  </w:style>
  <w:style w:type="character" w:styleId="682">
    <w:name w:val="Subtitle Char"/>
    <w:basedOn w:val="842"/>
    <w:link w:val="857"/>
    <w:uiPriority w:val="11"/>
    <w:rPr>
      <w:sz w:val="24"/>
      <w:szCs w:val="24"/>
    </w:rPr>
  </w:style>
  <w:style w:type="paragraph" w:styleId="683">
    <w:name w:val="Quote"/>
    <w:basedOn w:val="835"/>
    <w:next w:val="835"/>
    <w:link w:val="684"/>
    <w:qFormat/>
    <w:uiPriority w:val="29"/>
    <w:rPr>
      <w:i/>
    </w:rPr>
    <w:pPr>
      <w:ind w:left="720" w:right="720"/>
    </w:p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5"/>
    <w:next w:val="835"/>
    <w:link w:val="68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42"/>
    <w:link w:val="851"/>
    <w:uiPriority w:val="99"/>
  </w:style>
  <w:style w:type="character" w:styleId="688">
    <w:name w:val="Footer Char"/>
    <w:basedOn w:val="842"/>
    <w:link w:val="853"/>
    <w:uiPriority w:val="99"/>
  </w:style>
  <w:style w:type="paragraph" w:styleId="689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853"/>
    <w:uiPriority w:val="99"/>
  </w:style>
  <w:style w:type="table" w:styleId="691">
    <w:name w:val="Table Grid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 &amp; Lined - Accent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Bordered &amp; Lined - Accent 1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Bordered &amp; Lined - Accent 2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Bordered &amp; Lined - Accent 3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Bordered &amp; Lined - Accent 4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Bordered &amp; Lined - Accent 5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Bordered &amp; Lined - Accent 6"/>
    <w:basedOn w:val="8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42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42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rPr>
      <w:rFonts w:eastAsia="Times New Roman"/>
      <w:color w:val="000000"/>
    </w:rPr>
  </w:style>
  <w:style w:type="paragraph" w:styleId="836">
    <w:name w:val="Heading 1"/>
    <w:basedOn w:val="835"/>
    <w:next w:val="835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837">
    <w:name w:val="Heading 2"/>
    <w:basedOn w:val="835"/>
    <w:next w:val="835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838">
    <w:name w:val="Heading 3"/>
    <w:basedOn w:val="835"/>
    <w:next w:val="835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839">
    <w:name w:val="Heading 4"/>
    <w:basedOn w:val="835"/>
    <w:next w:val="835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840">
    <w:name w:val="Heading 5"/>
    <w:basedOn w:val="835"/>
    <w:next w:val="835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841">
    <w:name w:val="Heading 6"/>
    <w:basedOn w:val="835"/>
    <w:next w:val="835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table" w:styleId="845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6">
    <w:name w:val="Title"/>
    <w:basedOn w:val="835"/>
    <w:next w:val="835"/>
    <w:qFormat/>
    <w:uiPriority w:val="10"/>
    <w:rPr>
      <w:b/>
      <w:sz w:val="72"/>
      <w:szCs w:val="72"/>
    </w:rPr>
    <w:pPr>
      <w:keepLines/>
      <w:keepNext/>
      <w:spacing w:after="120" w:before="480"/>
    </w:pPr>
  </w:style>
  <w:style w:type="table" w:styleId="84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0">
    <w:name w:val="List Paragraph"/>
    <w:basedOn w:val="835"/>
    <w:qFormat/>
    <w:uiPriority w:val="34"/>
    <w:pPr>
      <w:contextualSpacing w:val="true"/>
      <w:ind w:left="720"/>
    </w:pPr>
  </w:style>
  <w:style w:type="paragraph" w:styleId="851">
    <w:name w:val="Header"/>
    <w:basedOn w:val="835"/>
    <w:link w:val="85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2" w:customStyle="1">
    <w:name w:val="Верхній колонтитул Знак"/>
    <w:basedOn w:val="842"/>
    <w:link w:val="851"/>
    <w:uiPriority w:val="99"/>
    <w:rPr>
      <w:rFonts w:ascii="Calibri" w:hAnsi="Calibri" w:cs="Calibri" w:eastAsia="Times New Roman"/>
      <w:color w:val="000000"/>
      <w:lang w:eastAsia="ru-RU"/>
    </w:rPr>
  </w:style>
  <w:style w:type="paragraph" w:styleId="853">
    <w:name w:val="Footer"/>
    <w:basedOn w:val="835"/>
    <w:link w:val="8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4" w:customStyle="1">
    <w:name w:val="Нижній колонтитул Знак"/>
    <w:basedOn w:val="842"/>
    <w:link w:val="853"/>
    <w:uiPriority w:val="99"/>
    <w:rPr>
      <w:rFonts w:ascii="Calibri" w:hAnsi="Calibri" w:cs="Calibri" w:eastAsia="Times New Roman"/>
      <w:color w:val="000000"/>
      <w:lang w:eastAsia="ru-RU"/>
    </w:rPr>
  </w:style>
  <w:style w:type="paragraph" w:styleId="855">
    <w:name w:val="Balloon Text"/>
    <w:basedOn w:val="835"/>
    <w:link w:val="8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6" w:customStyle="1">
    <w:name w:val="Текст у виносці Знак"/>
    <w:basedOn w:val="842"/>
    <w:link w:val="855"/>
    <w:uiPriority w:val="99"/>
    <w:semiHidden/>
    <w:rPr>
      <w:rFonts w:ascii="Tahoma" w:hAnsi="Tahoma" w:cs="Tahoma" w:eastAsia="Times New Roman"/>
      <w:color w:val="000000"/>
      <w:sz w:val="16"/>
      <w:szCs w:val="16"/>
      <w:lang w:eastAsia="ru-RU"/>
    </w:rPr>
  </w:style>
  <w:style w:type="paragraph" w:styleId="857">
    <w:name w:val="Subtitle"/>
    <w:basedOn w:val="835"/>
    <w:next w:val="835"/>
    <w:qFormat/>
    <w:uiPriority w:val="11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58" w:customStyle="1">
    <w:name w:val="StGen0"/>
    <w:basedOn w:val="849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59" w:customStyle="1">
    <w:name w:val="StGen1"/>
    <w:basedOn w:val="849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styleId="860" w:customStyle="1">
    <w:name w:val="StGen2"/>
    <w:basedOn w:val="849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lXk0+u+xdc0WxVs/gKUV2wWVZA==">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4</cp:revision>
  <dcterms:created xsi:type="dcterms:W3CDTF">2023-03-22T14:05:00Z</dcterms:created>
  <dcterms:modified xsi:type="dcterms:W3CDTF">2023-03-24T18:30:01Z</dcterms:modified>
</cp:coreProperties>
</file>