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06"/>
        <w:jc w:val="center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906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(тридцять друга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907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24 березня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158</w:t>
      </w:r>
      <w:r/>
    </w:p>
    <w:p>
      <w:pPr>
        <w:pStyle w:val="907"/>
        <w:tabs>
          <w:tab w:val="left" w:pos="453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907"/>
        <w:ind w:left="0" w:right="5669" w:firstLine="0"/>
        <w:jc w:val="both"/>
        <w:tabs>
          <w:tab w:val="left" w:pos="3969" w:leader="none"/>
          <w:tab w:val="left" w:pos="4252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 надання дозволу громадянам на розробку документації із землеустрою по встановленню меж земельних ділянок (паї) </w:t>
      </w:r>
      <w:r/>
    </w:p>
    <w:p>
      <w:pPr>
        <w:pStyle w:val="907"/>
        <w:ind w:right="513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907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Розглянувши заяви </w:t>
      </w:r>
      <w:r>
        <w:rPr>
          <w:rFonts w:ascii="Times New Roman" w:hAnsi="Times New Roman"/>
          <w:color w:val="000000"/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>
        <w:rPr>
          <w:rFonts w:ascii="Times New Roman" w:hAnsi="Times New Roman"/>
          <w:sz w:val="28"/>
        </w:rPr>
        <w:t xml:space="preserve">відповідно до розробленої </w:t>
      </w:r>
      <w:r>
        <w:rPr>
          <w:rFonts w:ascii="Times New Roman" w:hAnsi="Times New Roman"/>
          <w:sz w:val="28"/>
        </w:rPr>
        <w:t xml:space="preserve">проєктно-технічної</w:t>
      </w:r>
      <w:r>
        <w:rPr>
          <w:rFonts w:ascii="Times New Roman" w:hAnsi="Times New Roman"/>
          <w:sz w:val="28"/>
        </w:rPr>
        <w:t xml:space="preserve"> документації по</w:t>
      </w:r>
      <w:r>
        <w:rPr>
          <w:rFonts w:ascii="Times New Roman" w:hAnsi="Times New Roman"/>
          <w:sz w:val="28"/>
          <w:szCs w:val="28"/>
        </w:rPr>
        <w:t xml:space="preserve"> паюванню КСП «Світанок»  за межами с. </w:t>
      </w:r>
      <w:r>
        <w:rPr>
          <w:rFonts w:ascii="Times New Roman" w:hAnsi="Times New Roman"/>
          <w:sz w:val="28"/>
          <w:szCs w:val="28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 та с. </w:t>
      </w:r>
      <w:r>
        <w:rPr>
          <w:rFonts w:ascii="Times New Roman" w:hAnsi="Times New Roman"/>
          <w:sz w:val="28"/>
          <w:szCs w:val="28"/>
        </w:rPr>
        <w:t xml:space="preserve">Куковичі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КСП «Зоря» за межами с. </w:t>
      </w:r>
      <w:r>
        <w:rPr>
          <w:rFonts w:ascii="Times New Roman" w:hAnsi="Times New Roman"/>
          <w:sz w:val="28"/>
          <w:szCs w:val="28"/>
        </w:rPr>
        <w:t xml:space="preserve">Семенівка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сільгосппідприємства «Україна» за межами с. Городище,  КСП “Перемога” за межами с. Величківка, КСП “Великий Жовтень” за межами с. Покровське, КСП ім. Сидоренка за межами м. Мена та с. Ліски,</w:t>
      </w:r>
      <w:r>
        <w:rPr>
          <w:rFonts w:ascii="Times New Roman" w:hAnsi="Times New Roman"/>
          <w:sz w:val="28"/>
          <w:szCs w:val="28"/>
        </w:rPr>
        <w:t xml:space="preserve"> керуючись Законом України «Про порядок виділення в натурі (на місцевості) земельних ділянок власникам земельних часток (паїв)» та п. 34 ч.1 ст. 26 Закону України «Про місцеве самоврядування в Україні»,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90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 Надати дозвіл громадянам, власникам сертифікатів, на виготовлення документації із землеустрою по вста</w:t>
      </w:r>
      <w:r>
        <w:rPr>
          <w:rFonts w:ascii="Times New Roman" w:hAnsi="Times New Roman"/>
          <w:sz w:val="28"/>
          <w:szCs w:val="28"/>
        </w:rPr>
        <w:t xml:space="preserve">новленню (відновленню) меж земельних ділянок для виділення їх в натурі (на місцевості) на підставі сертифікатів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/>
    </w:p>
    <w:p>
      <w:pPr>
        <w:pStyle w:val="90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межами с.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Киселівка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та с.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Куковичі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/>
    </w:p>
    <w:p>
      <w:pPr>
        <w:pStyle w:val="907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Середі Григорію Григоровичу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/>
          <w:color w:val="000000"/>
          <w:sz w:val="28"/>
          <w:szCs w:val="28"/>
        </w:rPr>
        <w:t xml:space="preserve">Н №</w:t>
      </w:r>
      <w:r>
        <w:rPr>
          <w:rFonts w:ascii="Times New Roman" w:hAnsi="Times New Roman"/>
          <w:color w:val="000000"/>
          <w:sz w:val="28"/>
          <w:szCs w:val="28"/>
        </w:rPr>
        <w:t xml:space="preserve">965661</w:t>
      </w:r>
      <w:r>
        <w:rPr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право на спадщину за за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коном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від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28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0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.202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3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зареєстроване в реєстрі за №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505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спадкова справа №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41/2023;</w:t>
      </w:r>
      <w:r/>
    </w:p>
    <w:p>
      <w:pPr>
        <w:pStyle w:val="907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Дорошенко Мотроні Яківні – 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965711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право на спадщину за за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коном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від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28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0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.202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3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зареєстроване в реєстрі за №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507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спадкова справа №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299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/20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09;</w:t>
      </w:r>
      <w:r/>
    </w:p>
    <w:p>
      <w:pPr>
        <w:pStyle w:val="90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межами с.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Семенівка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/>
    </w:p>
    <w:p>
      <w:pPr>
        <w:pStyle w:val="908"/>
        <w:numPr>
          <w:ilvl w:val="0"/>
          <w:numId w:val="6"/>
        </w:numPr>
        <w:ind w:left="0" w:firstLine="360"/>
        <w:jc w:val="both"/>
        <w:spacing w:after="0" w:afterAutospacing="0" w:before="0" w:beforeAutospacing="0"/>
        <w:tabs>
          <w:tab w:val="left" w:pos="426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Ларкіній</w:t>
      </w:r>
      <w:r>
        <w:rPr>
          <w:color w:val="000000" w:themeColor="text1"/>
          <w:sz w:val="28"/>
          <w:szCs w:val="28"/>
          <w:lang w:val="uk-UA"/>
        </w:rPr>
        <w:t xml:space="preserve"> Вірі Григорівні – ЧН №0223469 (1/2 частка</w:t>
      </w:r>
      <w:r>
        <w:rPr>
          <w:color w:val="000000" w:themeColor="text1"/>
          <w:sz w:val="28"/>
          <w:szCs w:val="28"/>
          <w:lang w:val="uk-UA"/>
        </w:rPr>
        <w:t xml:space="preserve">) - </w:t>
      </w:r>
      <w:r>
        <w:rPr>
          <w:color w:val="000000"/>
          <w:sz w:val="28"/>
          <w:szCs w:val="28"/>
          <w:lang w:val="uk-UA"/>
        </w:rPr>
        <w:t xml:space="preserve">рішення Менського районного суду </w:t>
      </w:r>
      <w:r>
        <w:rPr>
          <w:color w:val="000000"/>
          <w:sz w:val="28"/>
          <w:szCs w:val="28"/>
          <w:lang w:val="uk-UA"/>
        </w:rPr>
        <w:t xml:space="preserve">Чернігівської області від 20.06.2022 року, справа № 738/213/22, № провадження 2/738/136/2022;</w:t>
      </w:r>
      <w:r/>
    </w:p>
    <w:p>
      <w:pPr>
        <w:pStyle w:val="908"/>
        <w:numPr>
          <w:ilvl w:val="0"/>
          <w:numId w:val="6"/>
        </w:numPr>
        <w:ind w:left="0" w:firstLine="360"/>
        <w:jc w:val="both"/>
        <w:spacing w:after="0" w:afterAutospacing="0" w:before="0" w:beforeAutospacing="0"/>
        <w:tabs>
          <w:tab w:val="left" w:pos="426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Осипцю</w:t>
      </w:r>
      <w:r>
        <w:rPr>
          <w:color w:val="000000" w:themeColor="text1"/>
          <w:sz w:val="28"/>
          <w:szCs w:val="28"/>
          <w:lang w:val="uk-UA"/>
        </w:rPr>
        <w:t xml:space="preserve"> Руслану Олександровичу – ЧН №0223469 (1/2 частка</w:t>
      </w:r>
      <w:r>
        <w:rPr>
          <w:color w:val="000000" w:themeColor="text1"/>
          <w:sz w:val="28"/>
          <w:szCs w:val="28"/>
          <w:lang w:val="uk-UA"/>
        </w:rPr>
        <w:t xml:space="preserve">) - </w:t>
      </w:r>
      <w:r>
        <w:rPr>
          <w:color w:val="000000"/>
          <w:sz w:val="28"/>
          <w:szCs w:val="28"/>
          <w:lang w:val="uk-UA"/>
        </w:rPr>
        <w:t xml:space="preserve">рішення Менського районного суду Чернігівської області від 20.06.2022 року, справа № 738/213/2</w:t>
      </w:r>
      <w:r>
        <w:rPr>
          <w:color w:val="000000"/>
          <w:sz w:val="28"/>
          <w:szCs w:val="28"/>
          <w:lang w:val="uk-UA"/>
        </w:rPr>
        <w:t xml:space="preserve">2, № провадження 2/738/136/2022;</w:t>
      </w:r>
      <w:r/>
    </w:p>
    <w:p>
      <w:pPr>
        <w:pStyle w:val="907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Шеремет Ганні Петрівні – 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0223526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право на спадщину за за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коном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від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09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02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.202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3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зареєстроване в реєстрі за №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272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спадкова справа №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20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/20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23;</w:t>
      </w:r>
      <w:r/>
    </w:p>
    <w:p>
      <w:pPr>
        <w:pStyle w:val="907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межами с.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Городище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/>
    </w:p>
    <w:p>
      <w:pPr>
        <w:pStyle w:val="907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Жовноватій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Катерині Анатоліївні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0177204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право на спадщину за за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коном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від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02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.202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3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зареєстроване в реєстрі за №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306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спадкова справа №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75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/20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21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;</w:t>
      </w:r>
      <w:r/>
    </w:p>
    <w:p>
      <w:pPr>
        <w:pStyle w:val="907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межами с.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Величківка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/>
    </w:p>
    <w:p>
      <w:pPr>
        <w:pStyle w:val="907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Панчешній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Ользі Миколаївні – 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968124 (ЧН №0095380 (1/3 частка)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право на спадщину за за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коном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від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14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10.2004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зареєстроване в реєстрі за №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4268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спадкова справа №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666 за 19.12.2002 року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;</w:t>
      </w:r>
      <w:r/>
    </w:p>
    <w:p>
      <w:pPr>
        <w:pStyle w:val="907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межами с.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Покровське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/>
    </w:p>
    <w:p>
      <w:pPr>
        <w:pStyle w:val="907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Джуджук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Тетяні Леонівні – 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0271397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право на спадщину за за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коном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від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07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07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.202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зареєстроване в реєстрі за №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835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спадкова справа №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97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/20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22;</w:t>
      </w:r>
      <w:r/>
    </w:p>
    <w:p>
      <w:pPr>
        <w:pStyle w:val="907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межами с.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Киселівка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/>
    </w:p>
    <w:p>
      <w:pPr>
        <w:pStyle w:val="907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Гальчуку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Вячеславу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Володимировичу – 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969643;</w:t>
      </w:r>
      <w:r/>
    </w:p>
    <w:p>
      <w:pPr>
        <w:pStyle w:val="907"/>
        <w:ind w:left="720"/>
        <w:jc w:val="both"/>
        <w:rPr>
          <w:rFonts w:ascii="Times New Roman" w:hAnsi="Times New Roman"/>
          <w:color w:val="000000"/>
          <w:sz w:val="28"/>
          <w:highlight w:val="non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межами м. Мена та с. Ліски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07"/>
        <w:ind w:left="0" w:right="0" w:firstLine="360"/>
        <w:jc w:val="both"/>
        <w:rPr>
          <w:rFonts w:ascii="Times New Roman" w:hAnsi="Times New Roman"/>
          <w:color w:val="000000"/>
          <w:sz w:val="28"/>
          <w:highlight w:val="non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10) Конавичеву Андрію Олександровичу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0324244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право на спадщину за за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коном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від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31.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05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.202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зареєстроване в реєстрі за №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594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спадкова справа №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135/20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22;</w:t>
      </w:r>
      <w:r>
        <w:rPr>
          <w:rFonts w:ascii="Times New Roman" w:hAnsi="Times New Roman"/>
          <w:color w:val="000000"/>
          <w:sz w:val="28"/>
          <w:szCs w:val="24"/>
        </w:rPr>
      </w:r>
      <w:r/>
    </w:p>
    <w:p>
      <w:pPr>
        <w:pStyle w:val="907"/>
        <w:ind w:left="0" w:right="0" w:firstLine="360"/>
        <w:jc w:val="both"/>
        <w:rPr>
          <w:rFonts w:ascii="Times New Roman" w:hAnsi="Times New Roman"/>
          <w:color w:val="000000"/>
          <w:sz w:val="28"/>
          <w:szCs w:val="24"/>
          <w:highlight w:val="none"/>
        </w:rPr>
      </w:pPr>
      <w:r>
        <w:rPr>
          <w:rFonts w:ascii="Times New Roman" w:hAnsi="Times New Roman"/>
          <w:color w:val="000000" w:themeColor="text1"/>
          <w:sz w:val="28"/>
          <w:szCs w:val="24"/>
          <w:highlight w:val="none"/>
        </w:rPr>
        <w:t xml:space="preserve">11)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Конавичеву Андрію Олександровичу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952529 -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право на спадщину за за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коном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від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31.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05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.202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зареєстроване в реєстрі за №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592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спадкова справа №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194/20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21;</w:t>
      </w:r>
      <w:r>
        <w:rPr>
          <w:rFonts w:ascii="Times New Roman" w:hAnsi="Times New Roman"/>
          <w:color w:val="000000" w:themeColor="text1"/>
          <w:sz w:val="28"/>
          <w:szCs w:val="24"/>
          <w:highlight w:val="none"/>
        </w:rPr>
      </w:r>
      <w:r/>
    </w:p>
    <w:p>
      <w:pPr>
        <w:pStyle w:val="907"/>
        <w:ind w:left="0" w:right="0" w:firstLine="36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  <w:highlight w:val="none"/>
        </w:rPr>
        <w:t xml:space="preserve">12)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Конавичеву Андрію Олександровичу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0324245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право на спадщину за за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коном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від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31.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05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.202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зареєстроване в реєстрі за №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593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спадкова справа №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136/20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22.</w:t>
      </w:r>
      <w:r>
        <w:rPr>
          <w:rFonts w:ascii="Times New Roman" w:hAnsi="Times New Roman"/>
          <w:color w:val="000000"/>
          <w:sz w:val="28"/>
          <w:szCs w:val="24"/>
        </w:rPr>
      </w:r>
      <w:r/>
    </w:p>
    <w:p>
      <w:pPr>
        <w:pStyle w:val="907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2. Громадянам замови</w:t>
      </w:r>
      <w:r>
        <w:rPr>
          <w:rFonts w:ascii="Times New Roman" w:hAnsi="Times New Roman"/>
          <w:sz w:val="28"/>
          <w:szCs w:val="28"/>
        </w:rPr>
        <w:t xml:space="preserve">ти технічну документацію із землеустрою та подати на затвердження в установленому законодавством порядку.</w:t>
      </w:r>
      <w:r/>
    </w:p>
    <w:p>
      <w:pPr>
        <w:pStyle w:val="907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eastAsia="uk-UA"/>
        </w:rPr>
        <w:t xml:space="preserve">3. 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eastAsia="uk-UA"/>
        </w:rPr>
        <w:t xml:space="preserve">Неберу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pPr>
        <w:pStyle w:val="90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0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07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  <w:jc w:val="center"/>
    </w:pPr>
    <w:fldSimple w:instr="PAGE \* MERGEFORMAT">
      <w:r>
        <w:t xml:space="preserve">1</w:t>
      </w:r>
    </w:fldSimple>
    <w:r/>
    <w:r/>
  </w:p>
  <w:p>
    <w:pPr>
      <w:pStyle w:val="75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 w:default="1">
    <w:name w:val="Normal"/>
    <w:qFormat/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paragraph" w:styleId="711" w:customStyle="1">
    <w:name w:val="Heading 1"/>
    <w:link w:val="7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2" w:customStyle="1">
    <w:name w:val="Heading 2"/>
    <w:link w:val="7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3" w:customStyle="1">
    <w:name w:val="Heading 3"/>
    <w:link w:val="73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4" w:customStyle="1">
    <w:name w:val="Heading 4"/>
    <w:link w:val="7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5" w:customStyle="1">
    <w:name w:val="Heading 5"/>
    <w:link w:val="7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6" w:customStyle="1">
    <w:name w:val="Heading 6"/>
    <w:link w:val="74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7" w:customStyle="1">
    <w:name w:val="Heading 7"/>
    <w:link w:val="74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8" w:customStyle="1">
    <w:name w:val="Heading 8"/>
    <w:link w:val="74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9" w:customStyle="1">
    <w:name w:val="Heading 9"/>
    <w:link w:val="7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0" w:customStyle="1">
    <w:name w:val="Heading 1 Char"/>
    <w:basedOn w:val="708"/>
    <w:uiPriority w:val="9"/>
    <w:rPr>
      <w:rFonts w:ascii="Arial" w:hAnsi="Arial" w:cs="Arial" w:eastAsia="Arial"/>
      <w:sz w:val="40"/>
      <w:szCs w:val="40"/>
    </w:rPr>
  </w:style>
  <w:style w:type="character" w:styleId="721" w:customStyle="1">
    <w:name w:val="Heading 2 Char"/>
    <w:basedOn w:val="708"/>
    <w:uiPriority w:val="9"/>
    <w:rPr>
      <w:rFonts w:ascii="Arial" w:hAnsi="Arial" w:cs="Arial" w:eastAsia="Arial"/>
      <w:sz w:val="34"/>
    </w:rPr>
  </w:style>
  <w:style w:type="character" w:styleId="722" w:customStyle="1">
    <w:name w:val="Heading 3 Char"/>
    <w:basedOn w:val="708"/>
    <w:uiPriority w:val="9"/>
    <w:rPr>
      <w:rFonts w:ascii="Arial" w:hAnsi="Arial" w:cs="Arial" w:eastAsia="Arial"/>
      <w:sz w:val="30"/>
      <w:szCs w:val="30"/>
    </w:rPr>
  </w:style>
  <w:style w:type="character" w:styleId="723" w:customStyle="1">
    <w:name w:val="Heading 4 Char"/>
    <w:basedOn w:val="708"/>
    <w:uiPriority w:val="9"/>
    <w:rPr>
      <w:rFonts w:ascii="Arial" w:hAnsi="Arial" w:cs="Arial" w:eastAsia="Arial"/>
      <w:b/>
      <w:bCs/>
      <w:sz w:val="26"/>
      <w:szCs w:val="26"/>
    </w:rPr>
  </w:style>
  <w:style w:type="character" w:styleId="724" w:customStyle="1">
    <w:name w:val="Heading 5 Char"/>
    <w:basedOn w:val="708"/>
    <w:uiPriority w:val="9"/>
    <w:rPr>
      <w:rFonts w:ascii="Arial" w:hAnsi="Arial" w:cs="Arial" w:eastAsia="Arial"/>
      <w:b/>
      <w:bCs/>
      <w:sz w:val="24"/>
      <w:szCs w:val="24"/>
    </w:rPr>
  </w:style>
  <w:style w:type="character" w:styleId="725" w:customStyle="1">
    <w:name w:val="Heading 6 Char"/>
    <w:basedOn w:val="708"/>
    <w:uiPriority w:val="9"/>
    <w:rPr>
      <w:rFonts w:ascii="Arial" w:hAnsi="Arial" w:cs="Arial" w:eastAsia="Arial"/>
      <w:b/>
      <w:bCs/>
      <w:sz w:val="22"/>
      <w:szCs w:val="22"/>
    </w:rPr>
  </w:style>
  <w:style w:type="character" w:styleId="726" w:customStyle="1">
    <w:name w:val="Heading 7 Char"/>
    <w:basedOn w:val="7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7" w:customStyle="1">
    <w:name w:val="Heading 8 Char"/>
    <w:basedOn w:val="708"/>
    <w:uiPriority w:val="9"/>
    <w:rPr>
      <w:rFonts w:ascii="Arial" w:hAnsi="Arial" w:cs="Arial" w:eastAsia="Arial"/>
      <w:i/>
      <w:iCs/>
      <w:sz w:val="22"/>
      <w:szCs w:val="22"/>
    </w:rPr>
  </w:style>
  <w:style w:type="character" w:styleId="728" w:customStyle="1">
    <w:name w:val="Heading 9 Char"/>
    <w:basedOn w:val="708"/>
    <w:uiPriority w:val="9"/>
    <w:rPr>
      <w:rFonts w:ascii="Arial" w:hAnsi="Arial" w:cs="Arial" w:eastAsia="Arial"/>
      <w:i/>
      <w:iCs/>
      <w:sz w:val="21"/>
      <w:szCs w:val="21"/>
    </w:rPr>
  </w:style>
  <w:style w:type="character" w:styleId="729" w:customStyle="1">
    <w:name w:val="Title Char"/>
    <w:basedOn w:val="708"/>
    <w:uiPriority w:val="10"/>
    <w:rPr>
      <w:sz w:val="48"/>
      <w:szCs w:val="48"/>
    </w:rPr>
  </w:style>
  <w:style w:type="character" w:styleId="730" w:customStyle="1">
    <w:name w:val="Subtitle Char"/>
    <w:basedOn w:val="708"/>
    <w:uiPriority w:val="11"/>
    <w:rPr>
      <w:sz w:val="24"/>
      <w:szCs w:val="24"/>
    </w:rPr>
  </w:style>
  <w:style w:type="character" w:styleId="731" w:customStyle="1">
    <w:name w:val="Quote Char"/>
    <w:uiPriority w:val="29"/>
    <w:rPr>
      <w:i/>
    </w:rPr>
  </w:style>
  <w:style w:type="character" w:styleId="732" w:customStyle="1">
    <w:name w:val="Intense Quote Char"/>
    <w:uiPriority w:val="30"/>
    <w:rPr>
      <w:i/>
    </w:rPr>
  </w:style>
  <w:style w:type="character" w:styleId="733" w:customStyle="1">
    <w:name w:val="Footnote Text Char"/>
    <w:uiPriority w:val="99"/>
    <w:rPr>
      <w:sz w:val="18"/>
    </w:rPr>
  </w:style>
  <w:style w:type="character" w:styleId="734" w:customStyle="1">
    <w:name w:val="Endnote Text Char"/>
    <w:uiPriority w:val="99"/>
    <w:rPr>
      <w:sz w:val="20"/>
    </w:rPr>
  </w:style>
  <w:style w:type="character" w:styleId="735" w:customStyle="1">
    <w:name w:val="Заголовок 1 Знак"/>
    <w:link w:val="711"/>
    <w:uiPriority w:val="9"/>
    <w:rPr>
      <w:rFonts w:ascii="Arial" w:hAnsi="Arial" w:cs="Arial" w:eastAsia="Arial"/>
      <w:sz w:val="40"/>
      <w:szCs w:val="40"/>
    </w:rPr>
  </w:style>
  <w:style w:type="character" w:styleId="736" w:customStyle="1">
    <w:name w:val="Заголовок 2 Знак"/>
    <w:link w:val="712"/>
    <w:uiPriority w:val="9"/>
    <w:rPr>
      <w:rFonts w:ascii="Arial" w:hAnsi="Arial" w:cs="Arial" w:eastAsia="Arial"/>
      <w:sz w:val="34"/>
    </w:rPr>
  </w:style>
  <w:style w:type="character" w:styleId="737" w:customStyle="1">
    <w:name w:val="Заголовок 3 Знак"/>
    <w:link w:val="713"/>
    <w:uiPriority w:val="9"/>
    <w:rPr>
      <w:rFonts w:ascii="Arial" w:hAnsi="Arial" w:cs="Arial" w:eastAsia="Arial"/>
      <w:sz w:val="30"/>
      <w:szCs w:val="30"/>
    </w:rPr>
  </w:style>
  <w:style w:type="character" w:styleId="738" w:customStyle="1">
    <w:name w:val="Заголовок 4 Знак"/>
    <w:link w:val="714"/>
    <w:uiPriority w:val="9"/>
    <w:rPr>
      <w:rFonts w:ascii="Arial" w:hAnsi="Arial" w:cs="Arial" w:eastAsia="Arial"/>
      <w:b/>
      <w:bCs/>
      <w:sz w:val="26"/>
      <w:szCs w:val="26"/>
    </w:rPr>
  </w:style>
  <w:style w:type="character" w:styleId="739" w:customStyle="1">
    <w:name w:val="Заголовок 5 Знак"/>
    <w:link w:val="715"/>
    <w:uiPriority w:val="9"/>
    <w:rPr>
      <w:rFonts w:ascii="Arial" w:hAnsi="Arial" w:cs="Arial" w:eastAsia="Arial"/>
      <w:b/>
      <w:bCs/>
      <w:sz w:val="24"/>
      <w:szCs w:val="24"/>
    </w:rPr>
  </w:style>
  <w:style w:type="character" w:styleId="740" w:customStyle="1">
    <w:name w:val="Заголовок 6 Знак"/>
    <w:link w:val="716"/>
    <w:uiPriority w:val="9"/>
    <w:rPr>
      <w:rFonts w:ascii="Arial" w:hAnsi="Arial" w:cs="Arial" w:eastAsia="Arial"/>
      <w:b/>
      <w:bCs/>
      <w:sz w:val="22"/>
      <w:szCs w:val="22"/>
    </w:rPr>
  </w:style>
  <w:style w:type="character" w:styleId="741" w:customStyle="1">
    <w:name w:val="Заголовок 7 Знак"/>
    <w:link w:val="7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2" w:customStyle="1">
    <w:name w:val="Заголовок 8 Знак"/>
    <w:link w:val="718"/>
    <w:uiPriority w:val="9"/>
    <w:rPr>
      <w:rFonts w:ascii="Arial" w:hAnsi="Arial" w:cs="Arial" w:eastAsia="Arial"/>
      <w:i/>
      <w:iCs/>
      <w:sz w:val="22"/>
      <w:szCs w:val="22"/>
    </w:rPr>
  </w:style>
  <w:style w:type="character" w:styleId="743" w:customStyle="1">
    <w:name w:val="Заголовок 9 Знак"/>
    <w:link w:val="719"/>
    <w:uiPriority w:val="9"/>
    <w:rPr>
      <w:rFonts w:ascii="Arial" w:hAnsi="Arial" w:cs="Arial" w:eastAsia="Arial"/>
      <w:i/>
      <w:iCs/>
      <w:sz w:val="21"/>
      <w:szCs w:val="21"/>
    </w:rPr>
  </w:style>
  <w:style w:type="paragraph" w:styleId="744">
    <w:name w:val="List Paragraph"/>
    <w:qFormat/>
    <w:uiPriority w:val="34"/>
    <w:pPr>
      <w:contextualSpacing w:val="true"/>
      <w:ind w:left="720"/>
    </w:pPr>
  </w:style>
  <w:style w:type="paragraph" w:styleId="745">
    <w:name w:val="No Spacing"/>
    <w:qFormat/>
    <w:uiPriority w:val="1"/>
  </w:style>
  <w:style w:type="paragraph" w:styleId="746">
    <w:name w:val="Title"/>
    <w:link w:val="74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7" w:customStyle="1">
    <w:name w:val="Название Знак"/>
    <w:link w:val="746"/>
    <w:uiPriority w:val="10"/>
    <w:rPr>
      <w:sz w:val="48"/>
      <w:szCs w:val="48"/>
    </w:rPr>
  </w:style>
  <w:style w:type="paragraph" w:styleId="748">
    <w:name w:val="Subtitle"/>
    <w:link w:val="749"/>
    <w:qFormat/>
    <w:uiPriority w:val="11"/>
    <w:rPr>
      <w:sz w:val="24"/>
      <w:szCs w:val="24"/>
    </w:rPr>
    <w:pPr>
      <w:spacing w:after="200" w:before="200"/>
    </w:pPr>
  </w:style>
  <w:style w:type="character" w:styleId="749" w:customStyle="1">
    <w:name w:val="Подзаголовок Знак"/>
    <w:link w:val="748"/>
    <w:uiPriority w:val="11"/>
    <w:rPr>
      <w:sz w:val="24"/>
      <w:szCs w:val="24"/>
    </w:rPr>
  </w:style>
  <w:style w:type="paragraph" w:styleId="750">
    <w:name w:val="Quote"/>
    <w:link w:val="751"/>
    <w:qFormat/>
    <w:uiPriority w:val="29"/>
    <w:rPr>
      <w:i/>
    </w:rPr>
    <w:pPr>
      <w:ind w:left="720" w:right="720"/>
    </w:pPr>
  </w:style>
  <w:style w:type="character" w:styleId="751" w:customStyle="1">
    <w:name w:val="Цитата 2 Знак"/>
    <w:link w:val="750"/>
    <w:uiPriority w:val="29"/>
    <w:rPr>
      <w:i/>
    </w:rPr>
  </w:style>
  <w:style w:type="paragraph" w:styleId="752">
    <w:name w:val="Intense Quote"/>
    <w:link w:val="75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3" w:customStyle="1">
    <w:name w:val="Выделенная цитата Знак"/>
    <w:link w:val="752"/>
    <w:uiPriority w:val="30"/>
    <w:rPr>
      <w:i/>
    </w:rPr>
  </w:style>
  <w:style w:type="paragraph" w:styleId="754" w:customStyle="1">
    <w:name w:val="Header"/>
    <w:basedOn w:val="707"/>
    <w:link w:val="904"/>
    <w:pPr>
      <w:tabs>
        <w:tab w:val="center" w:pos="4677" w:leader="none"/>
        <w:tab w:val="right" w:pos="9355" w:leader="none"/>
      </w:tabs>
    </w:pPr>
  </w:style>
  <w:style w:type="character" w:styleId="755" w:customStyle="1">
    <w:name w:val="Header Char"/>
    <w:uiPriority w:val="99"/>
  </w:style>
  <w:style w:type="paragraph" w:styleId="756" w:customStyle="1">
    <w:name w:val="Footer"/>
    <w:basedOn w:val="707"/>
    <w:link w:val="905"/>
    <w:pPr>
      <w:tabs>
        <w:tab w:val="center" w:pos="4677" w:leader="none"/>
        <w:tab w:val="right" w:pos="9355" w:leader="none"/>
      </w:tabs>
    </w:pPr>
  </w:style>
  <w:style w:type="character" w:styleId="757" w:customStyle="1">
    <w:name w:val="Footer Char"/>
    <w:uiPriority w:val="99"/>
  </w:style>
  <w:style w:type="paragraph" w:styleId="758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9" w:customStyle="1">
    <w:name w:val="Caption Char"/>
    <w:uiPriority w:val="99"/>
  </w:style>
  <w:style w:type="table" w:styleId="76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7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5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9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0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6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6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6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65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6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7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8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9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0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1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2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3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4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5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6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7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8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6">
    <w:name w:val="Hyperlink"/>
    <w:rPr>
      <w:color w:val="0563C1"/>
      <w:u w:val="single"/>
    </w:rPr>
  </w:style>
  <w:style w:type="paragraph" w:styleId="887">
    <w:name w:val="footnote text"/>
    <w:link w:val="888"/>
    <w:uiPriority w:val="99"/>
    <w:semiHidden/>
    <w:unhideWhenUsed/>
    <w:rPr>
      <w:sz w:val="18"/>
    </w:rPr>
    <w:pPr>
      <w:spacing w:after="40"/>
    </w:pPr>
  </w:style>
  <w:style w:type="character" w:styleId="888" w:customStyle="1">
    <w:name w:val="Текст сноски Знак"/>
    <w:link w:val="887"/>
    <w:uiPriority w:val="99"/>
    <w:rPr>
      <w:sz w:val="18"/>
    </w:rPr>
  </w:style>
  <w:style w:type="character" w:styleId="889">
    <w:name w:val="footnote reference"/>
    <w:uiPriority w:val="99"/>
    <w:unhideWhenUsed/>
    <w:rPr>
      <w:vertAlign w:val="superscript"/>
    </w:rPr>
  </w:style>
  <w:style w:type="paragraph" w:styleId="890">
    <w:name w:val="endnote text"/>
    <w:link w:val="891"/>
    <w:uiPriority w:val="99"/>
    <w:semiHidden/>
    <w:unhideWhenUsed/>
  </w:style>
  <w:style w:type="character" w:styleId="891" w:customStyle="1">
    <w:name w:val="Текст концевой сноски Знак"/>
    <w:link w:val="890"/>
    <w:uiPriority w:val="99"/>
    <w:rPr>
      <w:sz w:val="20"/>
    </w:rPr>
  </w:style>
  <w:style w:type="character" w:styleId="892">
    <w:name w:val="endnote reference"/>
    <w:uiPriority w:val="99"/>
    <w:semiHidden/>
    <w:unhideWhenUsed/>
    <w:rPr>
      <w:vertAlign w:val="superscript"/>
    </w:rPr>
  </w:style>
  <w:style w:type="paragraph" w:styleId="893">
    <w:name w:val="toc 1"/>
    <w:uiPriority w:val="39"/>
    <w:unhideWhenUsed/>
    <w:pPr>
      <w:spacing w:after="57"/>
    </w:pPr>
  </w:style>
  <w:style w:type="paragraph" w:styleId="894">
    <w:name w:val="toc 2"/>
    <w:uiPriority w:val="39"/>
    <w:unhideWhenUsed/>
    <w:pPr>
      <w:ind w:left="283"/>
      <w:spacing w:after="57"/>
    </w:pPr>
  </w:style>
  <w:style w:type="paragraph" w:styleId="895">
    <w:name w:val="toc 3"/>
    <w:uiPriority w:val="39"/>
    <w:unhideWhenUsed/>
    <w:pPr>
      <w:ind w:left="567"/>
      <w:spacing w:after="57"/>
    </w:pPr>
  </w:style>
  <w:style w:type="paragraph" w:styleId="896">
    <w:name w:val="toc 4"/>
    <w:uiPriority w:val="39"/>
    <w:unhideWhenUsed/>
    <w:pPr>
      <w:ind w:left="850"/>
      <w:spacing w:after="57"/>
    </w:pPr>
  </w:style>
  <w:style w:type="paragraph" w:styleId="897">
    <w:name w:val="toc 5"/>
    <w:uiPriority w:val="39"/>
    <w:unhideWhenUsed/>
    <w:pPr>
      <w:ind w:left="1134"/>
      <w:spacing w:after="57"/>
    </w:pPr>
  </w:style>
  <w:style w:type="paragraph" w:styleId="898">
    <w:name w:val="toc 6"/>
    <w:uiPriority w:val="39"/>
    <w:unhideWhenUsed/>
    <w:pPr>
      <w:ind w:left="1417"/>
      <w:spacing w:after="57"/>
    </w:pPr>
  </w:style>
  <w:style w:type="paragraph" w:styleId="899">
    <w:name w:val="toc 7"/>
    <w:uiPriority w:val="39"/>
    <w:unhideWhenUsed/>
    <w:pPr>
      <w:ind w:left="1701"/>
      <w:spacing w:after="57"/>
    </w:pPr>
  </w:style>
  <w:style w:type="paragraph" w:styleId="900">
    <w:name w:val="toc 8"/>
    <w:uiPriority w:val="39"/>
    <w:unhideWhenUsed/>
    <w:pPr>
      <w:ind w:left="1984"/>
      <w:spacing w:after="57"/>
    </w:pPr>
  </w:style>
  <w:style w:type="paragraph" w:styleId="901">
    <w:name w:val="toc 9"/>
    <w:uiPriority w:val="39"/>
    <w:unhideWhenUsed/>
    <w:pPr>
      <w:ind w:left="2268"/>
      <w:spacing w:after="57"/>
    </w:pPr>
  </w:style>
  <w:style w:type="paragraph" w:styleId="902">
    <w:name w:val="TOC Heading"/>
    <w:uiPriority w:val="39"/>
    <w:unhideWhenUsed/>
  </w:style>
  <w:style w:type="paragraph" w:styleId="903">
    <w:name w:val="table of figures"/>
    <w:uiPriority w:val="99"/>
    <w:unhideWhenUsed/>
  </w:style>
  <w:style w:type="character" w:styleId="904" w:customStyle="1">
    <w:name w:val="Верхний колонтитул Знак"/>
    <w:link w:val="754"/>
    <w:rPr>
      <w:rFonts w:ascii="Calibri" w:hAnsi="Calibri"/>
      <w:sz w:val="22"/>
      <w:szCs w:val="22"/>
      <w:lang w:eastAsia="en-US"/>
    </w:rPr>
  </w:style>
  <w:style w:type="character" w:styleId="905" w:customStyle="1">
    <w:name w:val="Нижний колонтитул Знак"/>
    <w:link w:val="756"/>
    <w:rPr>
      <w:rFonts w:ascii="Calibri" w:hAnsi="Calibri"/>
      <w:sz w:val="22"/>
      <w:szCs w:val="22"/>
      <w:lang w:eastAsia="en-US"/>
    </w:rPr>
  </w:style>
  <w:style w:type="paragraph" w:styleId="906" w:customStyle="1">
    <w:name w:val="Без интервала1"/>
    <w:rPr>
      <w:lang w:val="ru-RU"/>
    </w:rPr>
  </w:style>
  <w:style w:type="paragraph" w:styleId="907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08" w:customStyle="1">
    <w:name w:val="docdata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36</cp:revision>
  <dcterms:created xsi:type="dcterms:W3CDTF">2022-09-09T06:05:00Z</dcterms:created>
  <dcterms:modified xsi:type="dcterms:W3CDTF">2023-03-24T12:46:47Z</dcterms:modified>
</cp:coreProperties>
</file>