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4"/>
      </w:pPr>
      <w:r/>
      <w:r/>
    </w:p>
    <w:p>
      <w:pPr>
        <w:pStyle w:val="62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Пояснювальна записка</w:t>
      </w:r>
      <w:r/>
    </w:p>
    <w:p>
      <w:pPr>
        <w:pStyle w:val="6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 рішення </w:t>
      </w:r>
      <w:r>
        <w:rPr>
          <w:b/>
          <w:bCs/>
          <w:sz w:val="28"/>
          <w:szCs w:val="28"/>
        </w:rPr>
        <w:t xml:space="preserve">тридцят</w:t>
      </w:r>
      <w:r>
        <w:rPr>
          <w:b/>
          <w:bCs/>
          <w:sz w:val="28"/>
          <w:szCs w:val="28"/>
        </w:rPr>
        <w:t xml:space="preserve">ь другої</w:t>
      </w:r>
      <w:r>
        <w:rPr>
          <w:b/>
          <w:bCs/>
          <w:sz w:val="28"/>
          <w:szCs w:val="28"/>
        </w:rPr>
        <w:t xml:space="preserve"> сесії Менської міської ради восьмого скликання № </w:t>
      </w:r>
      <w:r>
        <w:rPr>
          <w:b/>
          <w:bCs/>
          <w:sz w:val="28"/>
          <w:szCs w:val="28"/>
        </w:rPr>
        <w:t xml:space="preserve">131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від </w:t>
      </w:r>
      <w:r>
        <w:rPr>
          <w:b/>
          <w:bCs/>
          <w:sz w:val="28"/>
          <w:szCs w:val="28"/>
        </w:rPr>
        <w:t xml:space="preserve">15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березня</w:t>
      </w:r>
      <w:r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 xml:space="preserve">3</w:t>
      </w:r>
      <w:r>
        <w:rPr>
          <w:b/>
          <w:bCs/>
          <w:sz w:val="28"/>
          <w:szCs w:val="28"/>
        </w:rPr>
        <w:t xml:space="preserve"> року «Про внесення змін до рішення </w:t>
      </w:r>
      <w:r>
        <w:rPr>
          <w:b/>
          <w:bCs/>
          <w:sz w:val="28"/>
          <w:szCs w:val="28"/>
        </w:rPr>
        <w:t xml:space="preserve">27-ої</w:t>
      </w:r>
      <w:r>
        <w:rPr>
          <w:b/>
          <w:bCs/>
          <w:sz w:val="28"/>
          <w:szCs w:val="28"/>
        </w:rPr>
        <w:t xml:space="preserve"> сесії Менської міської ради 8 скликання від 2</w:t>
      </w:r>
      <w:r>
        <w:rPr>
          <w:b/>
          <w:bCs/>
          <w:sz w:val="28"/>
          <w:szCs w:val="28"/>
        </w:rPr>
        <w:t xml:space="preserve">1</w:t>
      </w:r>
      <w:r>
        <w:rPr>
          <w:b/>
          <w:bCs/>
          <w:sz w:val="28"/>
          <w:szCs w:val="28"/>
        </w:rPr>
        <w:t xml:space="preserve"> грудня 202</w:t>
      </w:r>
      <w:r>
        <w:rPr>
          <w:b/>
          <w:bCs/>
          <w:sz w:val="28"/>
          <w:szCs w:val="28"/>
        </w:rPr>
        <w:t xml:space="preserve">2</w:t>
      </w:r>
      <w:r>
        <w:rPr>
          <w:b/>
          <w:bCs/>
          <w:sz w:val="28"/>
          <w:szCs w:val="28"/>
        </w:rPr>
        <w:t xml:space="preserve"> року № </w:t>
      </w:r>
      <w:r>
        <w:rPr>
          <w:b/>
          <w:bCs/>
          <w:sz w:val="28"/>
          <w:szCs w:val="28"/>
        </w:rPr>
        <w:t xml:space="preserve">500</w:t>
      </w:r>
      <w:r>
        <w:rPr>
          <w:b/>
          <w:bCs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b/>
          <w:bCs/>
          <w:sz w:val="28"/>
          <w:szCs w:val="28"/>
        </w:rPr>
        <w:t xml:space="preserve">3</w:t>
      </w:r>
      <w:r>
        <w:rPr>
          <w:b/>
          <w:bCs/>
          <w:sz w:val="28"/>
          <w:szCs w:val="28"/>
        </w:rPr>
        <w:t xml:space="preserve"> рік»»</w:t>
      </w:r>
      <w:r/>
    </w:p>
    <w:p>
      <w:pPr>
        <w:pStyle w:val="624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№ </w:t>
      </w:r>
      <w:r>
        <w:rPr>
          <w:rFonts w:ascii="Times New Roman" w:hAnsi="Times New Roman" w:cs="Times New Roman"/>
          <w:sz w:val="28"/>
          <w:szCs w:val="28"/>
        </w:rPr>
        <w:t xml:space="preserve">500</w:t>
      </w:r>
      <w:r>
        <w:rPr>
          <w:rFonts w:ascii="Times New Roman" w:hAnsi="Times New Roman" w:cs="Times New Roman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рік» від 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.12.202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року, за погодженням постійної комісії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ради:</w:t>
      </w:r>
      <w:r/>
    </w:p>
    <w:p>
      <w:pPr>
        <w:pStyle w:val="625"/>
        <w:numPr>
          <w:ilvl w:val="0"/>
          <w:numId w:val="4"/>
        </w:numPr>
        <w:ind w:lef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Уточнити залишок коштів загального фонду бюджету Менської міської ради, що склався станом на 01.01.2023 року, в сумі </w:t>
      </w:r>
      <w:r>
        <w:rPr>
          <w:rFonts w:ascii="Times New Roman" w:hAnsi="Times New Roman" w:cs="Times New Roman"/>
          <w:sz w:val="28"/>
          <w:szCs w:val="28"/>
        </w:rPr>
        <w:t xml:space="preserve">200</w:t>
      </w:r>
      <w:r>
        <w:rPr>
          <w:rFonts w:ascii="Times New Roman" w:hAnsi="Times New Roman" w:cs="Times New Roman"/>
          <w:sz w:val="28"/>
          <w:szCs w:val="28"/>
        </w:rPr>
        <w:t xml:space="preserve">00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збільшивши видаткову частину бюджету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, а саме:</w:t>
      </w:r>
      <w:r/>
    </w:p>
    <w:p>
      <w:pPr>
        <w:pStyle w:val="625"/>
        <w:numPr>
          <w:ilvl w:val="0"/>
          <w:numId w:val="8"/>
        </w:numPr>
        <w:ind w:lef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/>
      <w:bookmarkStart w:id="0" w:name="_Hlk125387624"/>
      <w:r>
        <w:rPr>
          <w:rFonts w:ascii="Times New Roman" w:hAnsi="Times New Roman" w:cs="Times New Roman"/>
          <w:sz w:val="28"/>
          <w:szCs w:val="28"/>
        </w:rPr>
        <w:t xml:space="preserve">загального</w:t>
      </w:r>
      <w:r>
        <w:rPr>
          <w:rFonts w:ascii="Times New Roman" w:hAnsi="Times New Roman" w:cs="Times New Roman"/>
          <w:sz w:val="28"/>
          <w:szCs w:val="28"/>
        </w:rPr>
        <w:t xml:space="preserve"> фонду </w:t>
      </w:r>
      <w:r>
        <w:rPr>
          <w:rFonts w:ascii="Times New Roman" w:hAnsi="Times New Roman" w:cs="Times New Roman"/>
          <w:sz w:val="28"/>
          <w:szCs w:val="28"/>
        </w:rPr>
        <w:t xml:space="preserve">Менськ</w:t>
      </w:r>
      <w:r>
        <w:rPr>
          <w:rFonts w:ascii="Times New Roman" w:hAnsi="Times New Roman" w:cs="Times New Roman"/>
          <w:sz w:val="28"/>
          <w:szCs w:val="28"/>
        </w:rPr>
        <w:t xml:space="preserve">ої</w:t>
      </w:r>
      <w:r>
        <w:rPr>
          <w:rFonts w:ascii="Times New Roman" w:hAnsi="Times New Roman" w:cs="Times New Roman"/>
          <w:sz w:val="28"/>
          <w:szCs w:val="28"/>
        </w:rPr>
        <w:t xml:space="preserve"> міськ</w:t>
      </w:r>
      <w:r>
        <w:rPr>
          <w:rFonts w:ascii="Times New Roman" w:hAnsi="Times New Roman" w:cs="Times New Roman"/>
          <w:sz w:val="28"/>
          <w:szCs w:val="28"/>
        </w:rPr>
        <w:t xml:space="preserve">ої</w:t>
      </w:r>
      <w:r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</w:t>
      </w:r>
      <w:r>
        <w:rPr>
          <w:rFonts w:ascii="Times New Roman" w:hAnsi="Times New Roman" w:cs="Times New Roman"/>
          <w:sz w:val="28"/>
          <w:szCs w:val="28"/>
        </w:rPr>
        <w:t xml:space="preserve">00</w:t>
      </w:r>
      <w:r>
        <w:rPr>
          <w:rFonts w:ascii="Times New Roman" w:hAnsi="Times New Roman" w:cs="Times New Roman"/>
          <w:sz w:val="28"/>
          <w:szCs w:val="28"/>
        </w:rPr>
        <w:t xml:space="preserve">,00 грн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омпенсаційн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их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 виплат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ах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 за пільговий проїзд окремих категорій громадян на залізничному транспорті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відповідно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рограми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відшкодування пільг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 послуг зв’язку та компенсаційних виплат за пільговий проїзд залізничним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транспортом жителів Менської міської територіальної громади на 2022-2024 роки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в частині видатків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інші виплати населенню</w:t>
      </w:r>
      <w:r/>
    </w:p>
    <w:p>
      <w:pPr>
        <w:pStyle w:val="625"/>
        <w:ind w:left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(КПКВК 011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3035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КЕКВ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2730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+2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000,00 грн.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)</w:t>
      </w:r>
      <w:r/>
    </w:p>
    <w:p>
      <w:pPr>
        <w:pStyle w:val="625"/>
        <w:numPr>
          <w:ilvl w:val="0"/>
          <w:numId w:val="4"/>
        </w:numPr>
        <w:ind w:left="0" w:firstLine="567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r>
        <w:rPr>
          <w:rFonts w:ascii="Times New Roman" w:hAnsi="Times New Roman" w:cs="Times New Roman"/>
          <w:sz w:val="28"/>
          <w:szCs w:val="28"/>
        </w:rPr>
        <w:t xml:space="preserve">видаткової частини бюджету</w:t>
      </w:r>
      <w:r>
        <w:rPr>
          <w:rFonts w:ascii="Times New Roman" w:hAnsi="Times New Roman" w:cs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, а саме:</w:t>
      </w:r>
      <w:r/>
    </w:p>
    <w:p>
      <w:pPr>
        <w:ind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2.1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П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о утриманню та розвитку автомобільних доріг та дорожньо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ї інфраструктури за рахунок коштів місцевого бюджету в частині фінансування «Програми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2022-2024 роки»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 а саме: </w:t>
      </w:r>
      <w:r/>
    </w:p>
    <w:p>
      <w:pPr>
        <w:ind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зменшити річну суму кошторисних призначень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загального фонду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Менської міської ради в частині видатків оплату послуг на суму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10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0000,00 грн.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збільш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и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т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и річну суму кошторисних призначень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спеціального фонду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на капітальний ремонт інших об’єктів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на суму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10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0000,00 грн.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( для здійснення коригування проектно-кошторисної документації)</w:t>
      </w:r>
      <w:r/>
    </w:p>
    <w:p>
      <w:pPr>
        <w:pStyle w:val="625"/>
        <w:ind w:left="0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(КПКВК 011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7461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КЕКВ 2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24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0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-100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000,00 грн.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 КЕКВ 3132+100000,00 грн.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)</w:t>
      </w:r>
      <w:r/>
    </w:p>
    <w:p>
      <w:pPr>
        <w:ind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2.2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 інших заходах громадського порядку та безпеки в частині фінансування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Програми</w:t>
      </w:r>
      <w: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підвищення обороноздатності та безпеки населених пунктів Менської  міської територіальної громади в умовах воєнного стану на 2023 рік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а саме:</w:t>
      </w:r>
      <w:r/>
    </w:p>
    <w:p>
      <w:pPr>
        <w:ind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змен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шити річну суму кошторисних призначень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загального фонду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придбання предметів, матеріалів, обладнання та інвентарю на суму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49752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,00 грн.;</w:t>
      </w:r>
      <w:r/>
    </w:p>
    <w:p>
      <w:pPr>
        <w:ind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збільш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и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т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и річну суму кошторисних призначень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спеціального фонду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на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придбання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обладнання і предметів довгострокового користування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на суму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49752,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00 грн.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( для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придбання світлодіодної пошукової установки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)</w:t>
      </w:r>
      <w:r/>
    </w:p>
    <w:p>
      <w:p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(КПКВК 0118230 КЕКВ 2210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-49752,00 грн., КЕКВ 3110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+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4975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,00 грн.)</w:t>
      </w:r>
      <w:r/>
    </w:p>
    <w:p>
      <w:pPr>
        <w:ind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2.3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П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о заходах пов’язаних з поліпшення питної води в частині фінансування «ПРОГРАМИ «Питна вода Менської міської територіальної громади на 2022-2024 роки»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 а саме:</w:t>
      </w:r>
      <w:r/>
    </w:p>
    <w:p>
      <w:pPr>
        <w:ind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 w:eastAsia="uk-UA"/>
        </w:rPr>
        <w:t xml:space="preserve">-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змен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шити річну суму кошторисних призначень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загального фонду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в частині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видатків на оплату послуг на суму 48716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,00 грн.; </w:t>
      </w:r>
      <w:r/>
    </w:p>
    <w:p>
      <w:pPr>
        <w:ind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збільшити річну суму кошторисних призначень спеціального фонду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на реконструкцію та реставрацію інших об’єктів на суму 48716,00 грн.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(виготовлення ПКД по об’єкту «Реконструкція комплексу очисних споруд м.Мена, який розташований за межами міста Мена, Менської міської територіальної громади, Корюківського району, Чернігівської області»)</w:t>
      </w:r>
      <w:r/>
    </w:p>
    <w:p>
      <w:pPr>
        <w:jc w:val="both"/>
        <w:spacing w:after="0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(КПКВК 0116040 КЕКВ 22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0-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48716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,00 грн., КЕКВ 31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42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+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48716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,00 грн.)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2.4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 розвитку мережі центрів надання адміністративних послуг</w:t>
      </w:r>
      <w:r>
        <w:rPr>
          <w:rFonts w:ascii="Times New Roman" w:hAnsi="Times New Roman" w:cs="Times New Roman"/>
          <w:sz w:val="28"/>
          <w:szCs w:val="28"/>
        </w:rPr>
        <w:t xml:space="preserve">, а саме:</w:t>
      </w:r>
      <w:r/>
    </w:p>
    <w:p>
      <w:pPr>
        <w:ind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 w:eastAsia="uk-UA"/>
        </w:rPr>
        <w:t xml:space="preserve">-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змен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шити річну суму кошторисних призначень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загального фонду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в частині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видатків на оплату послуг на суму 5000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,00 грн.;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збільшити річну суму кошторисних призначень спеціального фонду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капітальний ремонт інших об’єктів в сумі 5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00,00 грн. (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проведення технічного нагляду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 капітально</w:t>
      </w:r>
      <w:r>
        <w:rPr>
          <w:rFonts w:ascii="Times New Roman" w:hAnsi="Times New Roman" w:cs="Times New Roman"/>
          <w:sz w:val="28"/>
          <w:szCs w:val="28"/>
        </w:rPr>
        <w:t xml:space="preserve">му</w:t>
      </w:r>
      <w:r>
        <w:rPr>
          <w:rFonts w:ascii="Times New Roman" w:hAnsi="Times New Roman" w:cs="Times New Roman"/>
          <w:sz w:val="28"/>
          <w:szCs w:val="28"/>
        </w:rPr>
        <w:t xml:space="preserve"> ремонту системи опалення нежитлової будівлі з розміщення Центру надання адміністративних послуг по вул. Героїв АТО,9).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0117390 КЕКВ 2240-5000,00 грн.; КЕКВ 3132+5000,00 грн.) </w:t>
      </w:r>
      <w:r/>
    </w:p>
    <w:p>
      <w:pPr>
        <w:pStyle w:val="625"/>
        <w:numPr>
          <w:ilvl w:val="0"/>
          <w:numId w:val="4"/>
        </w:numPr>
        <w:ind w:lef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видаткової частини спеціального фонду Менської міської ради по здійсненню заходів із землеустрою в частині видатків на дослідження і розробку, окремих заходів розвитку по реалізації державних (регіональних) програм</w:t>
      </w:r>
      <w:r>
        <w:rPr>
          <w:rFonts w:ascii="Times New Roman" w:hAnsi="Times New Roman" w:cs="Times New Roman"/>
          <w:sz w:val="28"/>
          <w:szCs w:val="28"/>
        </w:rPr>
        <w:t xml:space="preserve">, а саме: перенаправити кошторисні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 сумі 14000,00 грн.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виділені </w:t>
      </w:r>
      <w:r>
        <w:rPr>
          <w:rFonts w:ascii="Times New Roman" w:hAnsi="Times New Roman" w:cs="Times New Roman"/>
          <w:sz w:val="28"/>
          <w:szCs w:val="28"/>
        </w:rPr>
        <w:t xml:space="preserve">для погашення кредиторської заборгованості минулого періоду</w:t>
      </w:r>
      <w:r>
        <w:rPr>
          <w:rFonts w:ascii="Times New Roman" w:hAnsi="Times New Roman" w:cs="Times New Roman"/>
          <w:sz w:val="28"/>
          <w:szCs w:val="28"/>
        </w:rPr>
        <w:t xml:space="preserve"> на виготовлення проекту землеустрою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на виготовлення технічної документації із землеустрою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щодо інвентаризації земельної ділянки за межами міста Мена</w:t>
      </w:r>
      <w:r>
        <w:rPr>
          <w:rFonts w:ascii="Times New Roman" w:hAnsi="Times New Roman" w:cs="Times New Roman"/>
          <w:sz w:val="28"/>
          <w:szCs w:val="28"/>
        </w:rPr>
        <w:t xml:space="preserve"> відповідно до прийнятої </w:t>
      </w:r>
      <w:r>
        <w:rPr>
          <w:rFonts w:ascii="Times New Roman" w:hAnsi="Times New Roman" w:cs="Times New Roman"/>
          <w:sz w:val="28"/>
          <w:szCs w:val="28"/>
        </w:rPr>
        <w:t xml:space="preserve">Програм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розвитку земельних відносин Менської міської територіальної громади на 2023-2025 роки</w:t>
      </w:r>
      <w:r>
        <w:rPr>
          <w:rFonts w:ascii="Times New Roman" w:hAnsi="Times New Roman" w:cs="Times New Roman"/>
          <w:sz w:val="28"/>
          <w:szCs w:val="28"/>
        </w:rPr>
        <w:t xml:space="preserve"> (в зв’язку з розірванням договору).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0117130 КЕКВ 2281)</w:t>
      </w:r>
      <w:r/>
    </w:p>
    <w:p>
      <w:pPr>
        <w:pStyle w:val="625"/>
        <w:numPr>
          <w:ilvl w:val="0"/>
          <w:numId w:val="4"/>
        </w:numPr>
        <w:ind w:left="0" w:firstLine="567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видаткової частини бюджету Менської міської ради, а саме:</w:t>
      </w:r>
      <w:r/>
    </w:p>
    <w:p>
      <w:pPr>
        <w:pStyle w:val="625"/>
        <w:numPr>
          <w:ilvl w:val="0"/>
          <w:numId w:val="8"/>
        </w:numPr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меншити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річну суму кошторисних призначень загального фонду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 розвитку мережі центрів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в частині видатків на оплату послуг на суму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275938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,00 грн.; </w:t>
      </w:r>
      <w:r/>
    </w:p>
    <w:p>
      <w:pPr>
        <w:pStyle w:val="625"/>
        <w:numPr>
          <w:ilvl w:val="0"/>
          <w:numId w:val="8"/>
        </w:numPr>
        <w:ind w:lef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збільшити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річну суму кошторисних призначень загального фонд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інших заходах громадської порядку і безпеки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 до прийнятої </w:t>
      </w:r>
      <w:r>
        <w:rPr>
          <w:rFonts w:ascii="Times New Roman" w:hAnsi="Times New Roman"/>
          <w:sz w:val="28"/>
          <w:szCs w:val="28"/>
        </w:rPr>
        <w:t xml:space="preserve"> ПРОГРАМ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розвитку цивільного захисту Менської міської територіальної громади на 2022-2024 роки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частині видатків на оплату послуг </w:t>
      </w:r>
      <w:r>
        <w:rPr>
          <w:rFonts w:ascii="Times New Roman" w:hAnsi="Times New Roman"/>
          <w:sz w:val="28"/>
          <w:szCs w:val="28"/>
        </w:rPr>
        <w:t xml:space="preserve">в сумі </w:t>
      </w:r>
      <w:r>
        <w:rPr>
          <w:rFonts w:ascii="Times New Roman" w:hAnsi="Times New Roman"/>
          <w:sz w:val="28"/>
          <w:szCs w:val="28"/>
        </w:rPr>
        <w:t xml:space="preserve">275938</w:t>
      </w:r>
      <w:r>
        <w:rPr>
          <w:rFonts w:ascii="Times New Roman" w:hAnsi="Times New Roman"/>
          <w:sz w:val="28"/>
          <w:szCs w:val="28"/>
        </w:rPr>
        <w:t xml:space="preserve">,00 грн.</w:t>
      </w:r>
      <w:r>
        <w:rPr>
          <w:rFonts w:ascii="Times New Roman" w:hAnsi="Times New Roman"/>
          <w:sz w:val="28"/>
          <w:szCs w:val="28"/>
        </w:rPr>
        <w:t xml:space="preserve"> ( проведення поточного ремонту приміщень для розміщення громадян які у зв’язку з бойовими діями вимушено залишили місце проживання)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(КПКВК 0117390 КЕКВ 2240-275938,00 грн., КПКВК 0118230 КЕКВ 2240+275938,00 грн.)</w:t>
      </w:r>
      <w:bookmarkEnd w:id="0"/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 Контроль за виконанням розпорядження покласти на постійну комісію з питань планування, фінансів, бюджету та соціально – економічного розвитку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</w:t>
      </w:r>
      <w:r/>
    </w:p>
    <w:p>
      <w:pPr>
        <w:pStyle w:val="625"/>
        <w:ind w:left="0" w:firstLine="567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5"/>
        <w:ind w:left="0" w:firstLine="567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Фінансового управління</w:t>
      </w:r>
      <w:r/>
    </w:p>
    <w:p>
      <w:pPr>
        <w:ind w:firstLine="0"/>
        <w:jc w:val="both"/>
        <w:spacing w:lineRule="auto" w:line="240" w:after="0" w:afterAutospacing="0"/>
        <w:tabs>
          <w:tab w:val="left" w:pos="680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Менської міської ради</w:t>
        <w:tab/>
        <w:t xml:space="preserve">Алла НЕРОСЛИК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"/>
      <w:jc w:val="center"/>
    </w:pPr>
    <w:fldSimple w:instr="PAGE \* MERGEFORMAT">
      <w:r>
        <w:t xml:space="preserve">1</w:t>
      </w:r>
    </w:fldSimple>
    <w:r/>
    <w:r/>
  </w:p>
  <w:p>
    <w:pPr>
      <w:pStyle w:val="40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20"/>
    <w:next w:val="62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2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20"/>
    <w:next w:val="62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2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20"/>
    <w:next w:val="62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2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20"/>
    <w:next w:val="62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2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20"/>
    <w:next w:val="62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2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20"/>
    <w:next w:val="62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2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20"/>
    <w:next w:val="62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2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20"/>
    <w:next w:val="62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2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20"/>
    <w:next w:val="62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2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20"/>
    <w:next w:val="62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21"/>
    <w:link w:val="32"/>
    <w:uiPriority w:val="10"/>
    <w:rPr>
      <w:sz w:val="48"/>
      <w:szCs w:val="48"/>
    </w:rPr>
  </w:style>
  <w:style w:type="paragraph" w:styleId="34">
    <w:name w:val="Subtitle"/>
    <w:basedOn w:val="620"/>
    <w:next w:val="62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21"/>
    <w:link w:val="34"/>
    <w:uiPriority w:val="11"/>
    <w:rPr>
      <w:sz w:val="24"/>
      <w:szCs w:val="24"/>
    </w:rPr>
  </w:style>
  <w:style w:type="paragraph" w:styleId="36">
    <w:name w:val="Quote"/>
    <w:basedOn w:val="620"/>
    <w:next w:val="62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20"/>
    <w:next w:val="62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2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21"/>
    <w:link w:val="40"/>
    <w:uiPriority w:val="99"/>
  </w:style>
  <w:style w:type="paragraph" w:styleId="42">
    <w:name w:val="Footer"/>
    <w:basedOn w:val="62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21"/>
    <w:link w:val="42"/>
    <w:uiPriority w:val="99"/>
  </w:style>
  <w:style w:type="paragraph" w:styleId="44">
    <w:name w:val="Caption"/>
    <w:basedOn w:val="620"/>
    <w:next w:val="62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2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2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21"/>
    <w:uiPriority w:val="99"/>
    <w:unhideWhenUsed/>
    <w:rPr>
      <w:vertAlign w:val="superscript"/>
    </w:rPr>
  </w:style>
  <w:style w:type="paragraph" w:styleId="176">
    <w:name w:val="endnote text"/>
    <w:basedOn w:val="62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21"/>
    <w:uiPriority w:val="99"/>
    <w:semiHidden/>
    <w:unhideWhenUsed/>
    <w:rPr>
      <w:vertAlign w:val="superscript"/>
    </w:rPr>
  </w:style>
  <w:style w:type="paragraph" w:styleId="179">
    <w:name w:val="toc 1"/>
    <w:basedOn w:val="620"/>
    <w:next w:val="62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20"/>
    <w:next w:val="62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20"/>
    <w:next w:val="62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20"/>
    <w:next w:val="62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20"/>
    <w:next w:val="62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20"/>
    <w:next w:val="62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20"/>
    <w:next w:val="62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20"/>
    <w:next w:val="62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20"/>
    <w:next w:val="62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20"/>
    <w:next w:val="620"/>
    <w:uiPriority w:val="99"/>
    <w:unhideWhenUsed/>
    <w:pPr>
      <w:spacing w:after="0" w:afterAutospacing="0"/>
    </w:pPr>
  </w:style>
  <w:style w:type="paragraph" w:styleId="620" w:default="1">
    <w:name w:val="Normal"/>
    <w:qFormat/>
  </w:style>
  <w:style w:type="character" w:styleId="621" w:default="1">
    <w:name w:val="Default Paragraph Font"/>
    <w:uiPriority w:val="1"/>
    <w:semiHidden/>
    <w:unhideWhenUsed/>
  </w:style>
  <w:style w:type="table" w:styleId="6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3" w:default="1">
    <w:name w:val="No List"/>
    <w:uiPriority w:val="99"/>
    <w:semiHidden/>
    <w:unhideWhenUsed/>
  </w:style>
  <w:style w:type="paragraph" w:styleId="624" w:customStyle="1">
    <w:name w:val="Default"/>
    <w:rPr>
      <w:rFonts w:ascii="Times New Roman" w:hAnsi="Times New Roman" w:cs="Times New Roman"/>
      <w:color w:val="000000"/>
      <w:sz w:val="24"/>
      <w:szCs w:val="24"/>
    </w:rPr>
    <w:pPr>
      <w:spacing w:lineRule="auto" w:line="240" w:after="0"/>
    </w:pPr>
  </w:style>
  <w:style w:type="paragraph" w:styleId="625">
    <w:name w:val="List Paragraph"/>
    <w:basedOn w:val="620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F967E1F-7205-4635-8B06-D360EA41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Adminov Admin </cp:lastModifiedBy>
  <cp:revision>105</cp:revision>
  <dcterms:created xsi:type="dcterms:W3CDTF">2022-12-09T07:34:00Z</dcterms:created>
  <dcterms:modified xsi:type="dcterms:W3CDTF">2023-03-16T18:35:54Z</dcterms:modified>
</cp:coreProperties>
</file>