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500" w:rsidRDefault="007B5500" w:rsidP="007B550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7B5500" w:rsidRDefault="007B5500" w:rsidP="007B550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 протоколу засідання  </w:t>
      </w:r>
    </w:p>
    <w:p w:rsidR="007B5500" w:rsidRDefault="007B5500" w:rsidP="007B550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виконавчого комітету</w:t>
      </w:r>
    </w:p>
    <w:p w:rsidR="007B5500" w:rsidRDefault="007B5500" w:rsidP="007B550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Менської міської ради № 5 </w:t>
      </w:r>
    </w:p>
    <w:p w:rsidR="007B5500" w:rsidRDefault="007B5500" w:rsidP="007B550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27 лютого 2023 року</w:t>
      </w:r>
    </w:p>
    <w:p w:rsidR="007B5500" w:rsidRDefault="007B5500" w:rsidP="001C4ED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C4EDD" w:rsidRPr="001C4EDD" w:rsidRDefault="001C4EDD" w:rsidP="001C4E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Доповідь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C4EDD">
        <w:rPr>
          <w:sz w:val="28"/>
          <w:szCs w:val="28"/>
        </w:rPr>
        <w:t>про стан виконання Плану соціально-економічного розвитку Менської</w:t>
      </w:r>
    </w:p>
    <w:p w:rsidR="001C4EDD" w:rsidRDefault="001C4EDD" w:rsidP="001C4ED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C4EDD">
        <w:rPr>
          <w:sz w:val="28"/>
          <w:szCs w:val="28"/>
        </w:rPr>
        <w:t>міської територіальної громади за 2022 р</w:t>
      </w:r>
      <w:r>
        <w:rPr>
          <w:sz w:val="28"/>
          <w:szCs w:val="28"/>
          <w:lang w:val="uk-UA"/>
        </w:rPr>
        <w:t>ік</w:t>
      </w:r>
    </w:p>
    <w:p w:rsidR="001C4EDD" w:rsidRDefault="007B5500" w:rsidP="001C4ED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питанню</w:t>
      </w:r>
      <w:r w:rsidR="001C4EDD">
        <w:rPr>
          <w:sz w:val="28"/>
          <w:szCs w:val="28"/>
          <w:lang w:val="uk-UA"/>
        </w:rPr>
        <w:t xml:space="preserve"> – 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A22B6">
        <w:rPr>
          <w:sz w:val="28"/>
          <w:szCs w:val="28"/>
        </w:rPr>
        <w:t>Про стан виконання Плану соціально-економічного розвитку Менської міської територіальної громади за 2022 рік</w:t>
      </w:r>
      <w:r>
        <w:rPr>
          <w:sz w:val="28"/>
          <w:szCs w:val="28"/>
          <w:lang w:val="uk-UA"/>
        </w:rPr>
        <w:t>.</w:t>
      </w:r>
    </w:p>
    <w:p w:rsid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1C4EDD" w:rsidRPr="001C4EDD">
        <w:rPr>
          <w:sz w:val="28"/>
          <w:szCs w:val="28"/>
        </w:rPr>
        <w:t>З метою створення умов для стабільного соціально-економічного розвитку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громади робота апарату міської ради, її структурних підрозділів та виконавчого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комітету протягом звітного періоду спрямовувалась на забезпечення виконання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основних завдань, визначених Планом соціально-економічного розвитку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Менської міської територіальної громади на 2021-2022 роки, затвердженої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рішенням 2 сесії Менської міської ради 8 скликання від 23 грудня 2020 року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№ 26.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З метою поширення інформації про громаду та</w:t>
      </w:r>
      <w:r>
        <w:rPr>
          <w:sz w:val="28"/>
          <w:szCs w:val="28"/>
          <w:lang w:val="uk-UA"/>
        </w:rPr>
        <w:t xml:space="preserve"> з</w:t>
      </w:r>
      <w:r w:rsidRPr="001C4EDD">
        <w:rPr>
          <w:sz w:val="28"/>
          <w:szCs w:val="28"/>
        </w:rPr>
        <w:t xml:space="preserve"> метою забезпечення</w:t>
      </w:r>
      <w:r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відкритості діяльності міської ради функціонує веб-сайт громади.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Фінансові показники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1C4EDD" w:rsidRPr="001C4EDD">
        <w:rPr>
          <w:sz w:val="28"/>
          <w:szCs w:val="28"/>
        </w:rPr>
        <w:t>Протягом 2022 року виконавчим комітетом Менської міської ТГ спільно з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Менським управлінням ГУ ДПС у Чернігівській області, депутатським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корпусом громади, Фінансовим управлінням, керівниками суб'єктів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господарювання вживалися заходи по стабілізації ситуації в усіх сферах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життєдіяльності громади, виконання завдань Програми соціально-економічного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розвитку території та виконання місцевого бюджету.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C4EDD" w:rsidRPr="001C4EDD">
        <w:rPr>
          <w:sz w:val="28"/>
          <w:szCs w:val="28"/>
        </w:rPr>
        <w:t xml:space="preserve">Сьогодні промисловість Менської </w:t>
      </w:r>
      <w:r w:rsidR="001C4EDD">
        <w:rPr>
          <w:sz w:val="28"/>
          <w:szCs w:val="28"/>
          <w:lang w:val="uk-UA"/>
        </w:rPr>
        <w:t xml:space="preserve">міської </w:t>
      </w:r>
      <w:r w:rsidR="001C4EDD" w:rsidRPr="001C4EDD">
        <w:rPr>
          <w:sz w:val="28"/>
          <w:szCs w:val="28"/>
        </w:rPr>
        <w:t>територіальної громади налічує 13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підприємств основного кола та забезпечує роботою близько 403 осіб.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Наразі функціонують наступні підприємства: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ТОВ «Нептун», ПАТ «Мена ПАК», Державна установа «Менська виправна</w:t>
      </w:r>
      <w:r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колонія №91», ПрАТ «ШРБУ-82», ТОВ Будівельна компанія «Волмакс» та інші.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C4EDD" w:rsidRPr="001C4EDD">
        <w:rPr>
          <w:sz w:val="28"/>
          <w:szCs w:val="28"/>
        </w:rPr>
        <w:t>Серед найбільших сільськогосподарських підприємств: ДП «Зернятко»,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ТОВ «Мена-Авангард», СТОВ «Олстас-льон», ТОВ «Агроресурс-2006», ФГ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«Бутенко» та інші. Загалом на території громади зареєстровані та здійснюють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свою діяльність 56 сільськогосподарських підприємств в яких працює 917</w:t>
      </w:r>
      <w:r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чоловік.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C4EDD" w:rsidRPr="001C4EDD">
        <w:rPr>
          <w:sz w:val="28"/>
          <w:szCs w:val="28"/>
        </w:rPr>
        <w:t xml:space="preserve">Найбільше коштів за 2022 рік </w:t>
      </w:r>
      <w:proofErr w:type="gramStart"/>
      <w:r w:rsidR="001C4EDD" w:rsidRPr="001C4EDD">
        <w:rPr>
          <w:sz w:val="28"/>
          <w:szCs w:val="28"/>
        </w:rPr>
        <w:t>до бюджету</w:t>
      </w:r>
      <w:proofErr w:type="gramEnd"/>
      <w:r w:rsidR="001C4EDD" w:rsidRPr="001C4EDD">
        <w:rPr>
          <w:sz w:val="28"/>
          <w:szCs w:val="28"/>
        </w:rPr>
        <w:t xml:space="preserve"> Менської міської територіальної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громади отримано від податку на доходи з фізичних осіб, плату за землю та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єдиного податку. Частка надходжень таких податків від загальної суми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отриманих доходів становить 65,1%, 15,4% та 12,9% відповідно.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1C4EDD" w:rsidRPr="001C4EDD">
        <w:rPr>
          <w:sz w:val="28"/>
          <w:szCs w:val="28"/>
        </w:rPr>
        <w:t xml:space="preserve">За 2022 рік </w:t>
      </w:r>
      <w:proofErr w:type="gramStart"/>
      <w:r w:rsidR="001C4EDD" w:rsidRPr="001C4EDD">
        <w:rPr>
          <w:sz w:val="28"/>
          <w:szCs w:val="28"/>
        </w:rPr>
        <w:t>до бюджету</w:t>
      </w:r>
      <w:proofErr w:type="gramEnd"/>
      <w:r w:rsidR="001C4EDD" w:rsidRPr="001C4EDD">
        <w:rPr>
          <w:sz w:val="28"/>
          <w:szCs w:val="28"/>
        </w:rPr>
        <w:t xml:space="preserve"> Менської ТГ надійшло 91157,7 тис. </w:t>
      </w:r>
      <w:r w:rsidR="001C4EDD">
        <w:rPr>
          <w:sz w:val="28"/>
          <w:szCs w:val="28"/>
          <w:lang w:val="uk-UA"/>
        </w:rPr>
        <w:t>г</w:t>
      </w:r>
      <w:r w:rsidR="001C4EDD" w:rsidRPr="001C4EDD">
        <w:rPr>
          <w:sz w:val="28"/>
          <w:szCs w:val="28"/>
        </w:rPr>
        <w:t>ривень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податку на доходи фізичних осіб. З найбільших платників даного податку слід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відзначити КНП "МЕНСЬКА МІСЬКА ЛІКАРНЯ" М</w:t>
      </w:r>
      <w:r w:rsidR="001C4EDD">
        <w:rPr>
          <w:sz w:val="28"/>
          <w:szCs w:val="28"/>
          <w:lang w:val="uk-UA"/>
        </w:rPr>
        <w:t xml:space="preserve">енської міської ради </w:t>
      </w:r>
      <w:r w:rsidR="001C4EDD" w:rsidRPr="001C4EDD">
        <w:rPr>
          <w:sz w:val="28"/>
          <w:szCs w:val="28"/>
        </w:rPr>
        <w:t>– 3,9% або 5428,8 тис. грн., ТОВ ДП «ЗЕРНЯТКО» - 4,9% або 6885,2 тис. грн.,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ТОВ «Мена – Авангард» - 3,1% або 4384,2 тис. грн., МВК №91 – 2,4% або 3441,9</w:t>
      </w:r>
      <w:r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тис. грн., ГУНП в Чернігівській області – 2,7% або 3789,3 тис. грн., Чернігівський</w:t>
      </w:r>
      <w:r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ОТЦК та СП – 2,1% або 2939,9 тис. грн., ФГ Бутенко – 1,4% або 1893,1 тис. грн.,</w:t>
      </w:r>
      <w:r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Менська гімназія – 1,6% або 2171,9 тис. грн., Менський ОЗЗЗСО І-ІІІ ст. ім. Т.Г.</w:t>
      </w:r>
      <w:r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Шевченка – 1,5% або 2034,5 тис. грн., КНП МЕНСЬКИЙ ЦЕНТР ПМСД – 1,5%</w:t>
      </w:r>
      <w:r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або 1808,8 тис. грн., АТ "МЕНА ПАК" – 1,5% або 1794,7 тис. грн., 2 ДПРЗ ГУ</w:t>
      </w:r>
      <w:r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ДСНС України у Чернігів. обл. – 1,3% або 1860,3 тис. грн., АТ ЧЕРНІГІВГАЗ –</w:t>
      </w:r>
      <w:r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1,2% або 1669,2 тис. грн.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Акцизного податку з роздрібної торгівлі підакцизних товарів сплачено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1272,2 тис. грн.</w:t>
      </w:r>
      <w:r w:rsidRPr="001C4EDD">
        <w:rPr>
          <w:sz w:val="28"/>
          <w:szCs w:val="28"/>
        </w:rPr>
        <w:t xml:space="preserve"> Найбільшим платником даного податку являється ТОВ"АТБ-</w:t>
      </w:r>
      <w:r>
        <w:rPr>
          <w:sz w:val="28"/>
          <w:szCs w:val="28"/>
        </w:rPr>
        <w:t>маркет" – 976,4 тис. грн.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1C4EDD" w:rsidRPr="001C4EDD">
        <w:rPr>
          <w:sz w:val="28"/>
          <w:szCs w:val="28"/>
        </w:rPr>
        <w:t>Земельного податку з юридичних осіб сплачено 2452,9 тис. грн. (5,8%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надходжень всіх місцевих податків та зборів). Найбільшими платника</w:t>
      </w:r>
      <w:r w:rsidR="001C4EDD">
        <w:rPr>
          <w:sz w:val="28"/>
          <w:szCs w:val="28"/>
          <w:lang w:val="uk-UA"/>
        </w:rPr>
        <w:t>ми</w:t>
      </w:r>
      <w:r w:rsidR="001C4EDD" w:rsidRPr="001C4EDD">
        <w:rPr>
          <w:sz w:val="28"/>
          <w:szCs w:val="28"/>
        </w:rPr>
        <w:t xml:space="preserve"> даного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податку є АТ «УКРЗАЛІЗНИЦЯ» - 27,0% від надходжень земельного податку з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юридичних осіб або 661,3 тис. грн., ТОВ "ДП ЗЕРНЯТКО" – 14,1% або 346,0 тис.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грн., АТ Чернігівгаз – 13,6% або 334,4 тис. грн., АКЦІОНЕРНЕ ТОВАРИСТВО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"ДЕРЖАВНА ПРОДОВОЛЬЧО-ЗЕРНОВА КОРПОРАЦІЯ УКРАЇНИ" – 9,8%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або 241,5 тис. грн., ТОВ "Урожай Агро Експорт" – 9,1% або 224,4 тис. грн., ПрАТ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"ШРБУ N82" – 8,6% або 210,8 тис. грн.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Орендної плати з юридичних осіб сплачено 16446,07 тис. грн. (39,0%</w:t>
      </w:r>
      <w:r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надходжень всіх місцевих податків та зборів). Найбільшими платника</w:t>
      </w:r>
      <w:r>
        <w:rPr>
          <w:sz w:val="28"/>
          <w:szCs w:val="28"/>
          <w:lang w:val="uk-UA"/>
        </w:rPr>
        <w:t>ми</w:t>
      </w:r>
      <w:r w:rsidRPr="001C4EDD">
        <w:rPr>
          <w:sz w:val="28"/>
          <w:szCs w:val="28"/>
        </w:rPr>
        <w:t xml:space="preserve"> даного</w:t>
      </w:r>
      <w:r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 xml:space="preserve">податку </w:t>
      </w:r>
      <w:r>
        <w:rPr>
          <w:sz w:val="28"/>
          <w:szCs w:val="28"/>
          <w:lang w:val="uk-UA"/>
        </w:rPr>
        <w:t>є</w:t>
      </w:r>
      <w:r w:rsidRPr="001C4EDD">
        <w:rPr>
          <w:sz w:val="28"/>
          <w:szCs w:val="28"/>
        </w:rPr>
        <w:t xml:space="preserve"> ТОВ Куковицьке – 12,9% або 2125,5 тис. грн., ФГ «Бутенко»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- 8,9% або 1464,4 тис. грн., ТОВ "САНВІН 28" – 7,4% або 1213,1 тис. грн., ТОВ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"ДП ЗЕРНЯТКО" – 5,4% або 891,6 тис. грн., ТОВ "СОЛАГРО" – 4,0% або 661,7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тис. грн., Фермерське господар-во "Зелений Обрiй" – 4,4% або 717,5 тис. грн.,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СТОВ " ЩОРССІЛЬГОСПСЕРВІС" – 4,0% або 663,5 тис. грн., ТОВ "МЕНА-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АВАНГАРД" – 2,4% або 400,7 тис. грн., ПрАТ "Менське племпідприємство" –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2,8% або 468,2 тис. грн., ТОВ "АГРОРЕСУРС-2006" – 3,3% або 536,0 тис. грн.,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ТОВ лУСПІХ-МЕНА» – 2,8% або 456,9 тис. грн., ФК Ковбаси В.О. – 3,8% або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621,2 тис. грн., ТОВ "ПРАЦЯ СТОЛЬНЕ" – 2,7% або 442,2 тис. грн.,</w:t>
      </w:r>
      <w:r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БУТЕНКОВЕ, ФГ – 2,6% або 422,6 тис. грн.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1C4EDD" w:rsidRPr="001C4EDD">
        <w:rPr>
          <w:sz w:val="28"/>
          <w:szCs w:val="28"/>
        </w:rPr>
        <w:t>Земельного податку та орендної палати з фізичних осіб становить 688,11</w:t>
      </w:r>
      <w:r w:rsidR="001C4EDD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тис. грн. та 1982,01 тис. грн. відповідно.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Податку на нерухоме майно до громади надійшло 2330,49 тис. грн.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1C4EDD" w:rsidRPr="001C4EDD">
        <w:rPr>
          <w:sz w:val="28"/>
          <w:szCs w:val="28"/>
        </w:rPr>
        <w:t>Найбільшими платниками такого виду податку стали АТ ЧЕРНІГІВГАЗ, який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сплатив - 169,3 тис. грн., ТОВ НЕПТУН – 121,4 тис. грн. та ТОВ "ДП</w:t>
      </w:r>
      <w:r>
        <w:rPr>
          <w:sz w:val="28"/>
          <w:szCs w:val="28"/>
          <w:lang w:val="uk-UA"/>
        </w:rPr>
        <w:t xml:space="preserve"> «</w:t>
      </w:r>
      <w:r w:rsidRPr="001C4EDD">
        <w:rPr>
          <w:sz w:val="28"/>
          <w:szCs w:val="28"/>
        </w:rPr>
        <w:t>ЗЕРНЯТКО" - 101,7 тис. грн.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Єдиного податку зібрано на території громади 18102,75 тис. грн.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lastRenderedPageBreak/>
        <w:t>Найбільшим платниками податку з фізичних осіб є ФОП ПИЛИПЕНКО О.О. –</w:t>
      </w:r>
      <w:r w:rsidR="00EF0D12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315,2 тис. грн., ФОП Сова С.Г. – 247,6 тис. грн., ФОП Бенько В.В. – 259,6 тис.</w:t>
      </w:r>
      <w:r w:rsidR="00EF0D12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 xml:space="preserve">грн., ФОП Білдюк С.О. – 189,6 тис. грн., ФОП Сова Г.Г. –203,6 тис. грн., </w:t>
      </w:r>
      <w:bookmarkStart w:id="0" w:name="_GoBack"/>
      <w:bookmarkEnd w:id="0"/>
      <w:r w:rsidRPr="001C4EDD">
        <w:rPr>
          <w:sz w:val="28"/>
          <w:szCs w:val="28"/>
        </w:rPr>
        <w:t>ФОП</w:t>
      </w:r>
      <w:r w:rsidR="00EF0D12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ГАРКУША М.М. – 179,5 тис. грн., ФОП Булавка В.О. – 207,2 тис. грн., ФОП</w:t>
      </w:r>
      <w:r w:rsidR="00EF0D12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Жаловська О.О. –178,5 тис. грн.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C4EDD" w:rsidRPr="001C4EDD">
        <w:rPr>
          <w:sz w:val="28"/>
          <w:szCs w:val="28"/>
        </w:rPr>
        <w:t>Найбільшим платниками податку з сільськогосподарських</w:t>
      </w:r>
      <w:r w:rsidR="00EF0D12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товаровиробників є ТОВ «Мена-Авангард» - 894,7 тис. грн., ТОВ «ДП</w:t>
      </w:r>
      <w:r w:rsidR="00EF0D12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ЗЕРНЯТКО» - 687,4 тис. грн., СТОВ «Олстас-льон» - 620,1 тис. грн., ТОВ</w:t>
      </w:r>
      <w:r w:rsidR="00EF0D12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Куковицьке – 620,5 тис. грн., ТОВ «Агроресур-2006» - 503,0 тис. грн., СТОВ</w:t>
      </w:r>
      <w:r w:rsidR="00EF0D12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«Олстас-агро» - 490,0 тис. грн., ФГ Бутенко – 493,9 тис. грн., ТОВ УСПІХ-МЕНА» - 333,3 тис. грн.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Плата за надання адміністративних послуг сплачен</w:t>
      </w:r>
      <w:r w:rsidR="00EF0D12">
        <w:rPr>
          <w:sz w:val="28"/>
          <w:szCs w:val="28"/>
          <w:lang w:val="uk-UA"/>
        </w:rPr>
        <w:t>а</w:t>
      </w:r>
      <w:r w:rsidRPr="001C4EDD">
        <w:rPr>
          <w:sz w:val="28"/>
          <w:szCs w:val="28"/>
        </w:rPr>
        <w:t xml:space="preserve"> у розмірі 2874,1 тис.</w:t>
      </w:r>
      <w:r w:rsidR="00EF0D12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грн.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Житлово-комунальне господарство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Місто Мена по площі одне з найбільших міст східної зони області. В місті</w:t>
      </w:r>
      <w:r w:rsidR="00EF0D12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більше 130 вулиць та провулків. Протяжність міських доріг більша 86 км. Площа</w:t>
      </w:r>
      <w:r w:rsidR="00EF0D12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території міста складає загалом 1568,4 га.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C4EDD" w:rsidRPr="001C4EDD">
        <w:rPr>
          <w:sz w:val="28"/>
          <w:szCs w:val="28"/>
        </w:rPr>
        <w:t>У місті налічується 62 багатоквартирних будинки, в яких знаходиться 1023</w:t>
      </w:r>
      <w:r w:rsidR="00EF0D12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квартири. 48 багатоквартирних будинків розміщено на територіях</w:t>
      </w:r>
      <w:r w:rsidR="00EF0D12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старостинських округів громади.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C4EDD" w:rsidRPr="001C4EDD">
        <w:rPr>
          <w:sz w:val="28"/>
          <w:szCs w:val="28"/>
        </w:rPr>
        <w:t>Загальна протяжність водопровідної мережі в м. Мена становить 48,05 км.,</w:t>
      </w:r>
      <w:r w:rsidR="00EF0D12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каналізаційної - 13,072 км. Окрім міста Мена, централізоване водопостачання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наявне ще в 9 населених пунктах громади, а саме в селах Блистова (2 км),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Величківка (21,5 км), Бірківка (0,6 км), Ліски (1,5 км), Слобідка (2,2 км), Стольне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(3,4 км) та селищі міського типу Макошине (0,8 км). Деякі мережі перебувають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в незадовільному стані, а саме в селах Величківка, Ліски та Бірківка.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C4EDD" w:rsidRPr="001C4EDD">
        <w:rPr>
          <w:sz w:val="28"/>
          <w:szCs w:val="28"/>
        </w:rPr>
        <w:t>Проводиться робота по впорядкуванню відрізків мережі водопостачання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комунальної власності в. м. Мена, які є частиною цілісного майнового комплексу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мережі водопостачання.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C4EDD" w:rsidRPr="001C4EDD">
        <w:rPr>
          <w:sz w:val="28"/>
          <w:szCs w:val="28"/>
        </w:rPr>
        <w:t>На даний час в місті відсутні робочі очисні споруди, і місто користується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очисними спорудами ПП КФ «Прометей» філії «Менський сир». Одним з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основних завдань на найближчу перспективу є відновлення роботи міських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очисних споруд. На даний час Менською міською радою замовлено розробку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проектно-кошторисної документації по робочому проекту «Реконструкція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очисних споруд в м. Мена Чернігівської області». Орієнтовна вартість робіт по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їх відновленню складає 30 млн. грн., на що планується залучити кошти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державного бюджету або міжнародних фінансових інституцій. Розроблений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детальний план території під експлуатацію очисних споруд.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На території міста Мена є в наявності паспортизоване сміттєзвалище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площею 6,1266 га, яке розраховано на 25 років. Також паспортизоване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сміттєзвалище в с. Блистова площею 1 га, село Покровське площею 1,5 га.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Виконавцем послуг по утриманню МВВ та з вивезення твердих побутових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відходів на території Менської міської територіальної громади є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 xml:space="preserve">КП </w:t>
      </w:r>
      <w:r w:rsidRPr="001C4EDD">
        <w:rPr>
          <w:sz w:val="28"/>
          <w:szCs w:val="28"/>
        </w:rPr>
        <w:lastRenderedPageBreak/>
        <w:t>«Менакомунпослуга» Менської міської ради. Очікуються результати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проведення щорічної ревізії на наявні паспортизовані сміттєзвалища ТПВ. Для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всіх населених пунктів громади планується дотримуватися пріоритетів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визначених «Національною Стратегією управління відходами до 2030 року» та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«Національного плану управління відходами в Україні до 2030 року».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Була проведена комісійна робота з обстеження, постановки на баланс,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списання колодязів по населеним пунктам громади для їх подальшого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впорядкування та приведення в належний стан. На даний час активно реалізуємо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проєкт «Покращення доступності та якості питної води на території Менської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ТГ» спільно з ГО «ДІМ» та ПРООН, за результатами якого будуть почищені та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облаштовані 48 колодязів загального користування в населених пунктах нашої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громади.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1C4EDD" w:rsidRPr="001C4EDD">
        <w:rPr>
          <w:sz w:val="28"/>
          <w:szCs w:val="28"/>
        </w:rPr>
        <w:t>На балансі міської, селищної та сільських рад громади знаходиться 375,626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км дорожніх мереж. На даний час у населених пунктах громади значна кількість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доріг з асфальтовим покриттям потребують проведення капітального ремонту.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1C4EDD" w:rsidRPr="001C4EDD">
        <w:rPr>
          <w:sz w:val="28"/>
          <w:szCs w:val="28"/>
        </w:rPr>
        <w:t>При Менській міській раді діє комунальне підприємство КП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«Менакомунпослуга», яке надає послуги з вивезення твердих та рідких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побутових відходів по місту та населеним пунктам громади, благоустрою,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послуги лазні, обслуговування систем вуличного освітлення громади. Проведено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конкурс з визначення надавача послуг вивезення ТПВ на території всієї громади,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крім населених пунктів де відсутнє логістичне сполучення. Для ефективної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роботи комунального підприємства КП «Менакомунпослуга» необхідно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закуповувати контейнери для збору сміття, оновлювати техніку та забезпечити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закупівлю обладнання для наявної техніки.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Проводиться робота з об’єктами комунальної власності, а саме: прийняття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на баланс, передача в оперативне управління або господарське відання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установам чи відділам, а при необхідності списання з балансу Менської міської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ради.</w:t>
      </w:r>
    </w:p>
    <w:p w:rsidR="001C4EDD" w:rsidRPr="00652B11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C4EDD">
        <w:rPr>
          <w:sz w:val="28"/>
          <w:szCs w:val="28"/>
        </w:rPr>
        <w:t>Архітектура та містобудування</w:t>
      </w:r>
      <w:r w:rsidR="00652B11">
        <w:rPr>
          <w:sz w:val="28"/>
          <w:szCs w:val="28"/>
          <w:lang w:val="uk-UA"/>
        </w:rPr>
        <w:t>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C4EDD" w:rsidRPr="001C4EDD">
        <w:rPr>
          <w:sz w:val="28"/>
          <w:szCs w:val="28"/>
        </w:rPr>
        <w:t>У 2022 році здійснювалось експлуатаційне утримання та ремонт вулиць і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доріг комунальної власності. Проведено ямковий ремонт асфальтобетонного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покриття вулиці та провулку Шевченка, вулиць Армійська, Григорія Кочура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(Сидоренка), Вокзальна, Бузкова, Гетьманська (Гагаріна), Шкільна, Левка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Симиренка (Мічуріна), Миколи Лисенка (Чехова), Михайла Грушевського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 xml:space="preserve">(Лермонтова), Андрейченка Максима, Остреченська, Лісова, Віталія Горбача (8-го </w:t>
      </w:r>
      <w:r w:rsidR="00652B11">
        <w:rPr>
          <w:sz w:val="28"/>
          <w:szCs w:val="28"/>
          <w:lang w:val="uk-UA"/>
        </w:rPr>
        <w:t>Б</w:t>
      </w:r>
      <w:r w:rsidR="001C4EDD" w:rsidRPr="001C4EDD">
        <w:rPr>
          <w:sz w:val="28"/>
          <w:szCs w:val="28"/>
        </w:rPr>
        <w:t>ерезня), Тиха, Сонячна, Героїв АТО в м. Мена на загальну суму 1053,195 тис.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грн.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Здійснено грейдерування вулиць Героїв України (1-го Травня), Нове життя,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Приозерна, Миру, Титаренка Сергія, Сонячна, Григорія Кочура (Сидоренка),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Троїцька, Олеся Гончара (Толстого) в м. Мена. Загальна вартість робіт становить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25,134 тис. грн. Також проведено висипку провулків Вокзальний 1-ий,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Просужого 3-й, Набережний та вулиць Титаренка Сергія, Щаслива в м. Мена на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загальну суму 283,100 тис. грн.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lastRenderedPageBreak/>
        <w:t xml:space="preserve">Для утримання автомобільних доріг комунальної власності </w:t>
      </w:r>
      <w:proofErr w:type="gramStart"/>
      <w:r w:rsidRPr="001C4EDD">
        <w:rPr>
          <w:sz w:val="28"/>
          <w:szCs w:val="28"/>
        </w:rPr>
        <w:t>в зимовий</w:t>
      </w:r>
      <w:proofErr w:type="gramEnd"/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 xml:space="preserve">період було придбано 180 тон піску на загальну суму 114,750 тис. </w:t>
      </w:r>
      <w:r w:rsidR="00652B11">
        <w:rPr>
          <w:sz w:val="28"/>
          <w:szCs w:val="28"/>
          <w:lang w:val="uk-UA"/>
        </w:rPr>
        <w:t>г</w:t>
      </w:r>
      <w:r w:rsidRPr="001C4EDD">
        <w:rPr>
          <w:sz w:val="28"/>
          <w:szCs w:val="28"/>
        </w:rPr>
        <w:t>рн</w:t>
      </w:r>
      <w:r w:rsidR="00652B11">
        <w:rPr>
          <w:sz w:val="28"/>
          <w:szCs w:val="28"/>
          <w:lang w:val="uk-UA"/>
        </w:rPr>
        <w:t>.</w:t>
      </w:r>
      <w:r w:rsidRPr="001C4EDD">
        <w:rPr>
          <w:sz w:val="28"/>
          <w:szCs w:val="28"/>
        </w:rPr>
        <w:t xml:space="preserve"> та 21 тону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солі – 144,552 тис. грн.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1C4EDD" w:rsidRPr="001C4EDD">
        <w:rPr>
          <w:sz w:val="28"/>
          <w:szCs w:val="28"/>
        </w:rPr>
        <w:t>З метою забезпечення безпеки дорожнього руху у 2022 році Менською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міською радою було придбано та передано КП «Менакомунпослуга» 50</w:t>
      </w:r>
      <w:r w:rsidR="00652B11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дорожніх знаків для встановлення в населених пунктах громади.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Для сприятливих умов руху транспортних засобів та пішоходів біля школи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ім. Т.Г. Шевченка в м. Мена було встановлено дорожні знаки по вул. Приозерна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відповідно до розробленої схеми організації дорожнього руху.</w:t>
      </w:r>
      <w:r w:rsidR="00652B11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Проводяться роботи з виготовлення містобудівної документації -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Детального плану території для реконструкції і встановлення зерносушильного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і зерноочисного обладнання, газифікації зерносушильного обладнання пропан-бутаном, встановлення газової заправки пропан-бутаном на земельній ділянці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загальною площею 1,4811 га, кадастровий номер 7423081800:03:000:0818, яка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знаходиться в довгостроковій оренді ПП «Петрушанко-Агро» та розташована за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межами с. Величківка на території Менської міської територіальної громади,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Корюківського району, Чернігівської області. 27 грудня 2022 року відбулось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громадське обговорення даного проєкту містобудівної документації та звіту про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стратегічну екологічну оцінку.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Враховуючи Рекомендації Уповноваженого із захисту державної мови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щодо окремих питань застосування української мови як державної у діяльності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органів державної влади, органів місцевого самоврядування (в частині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найменування, перейменування, унормування назв географічних об’єктів та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об’єктів топоніміки населених пунктів), пропозиції комісії з питань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найменування, перейменування, унормування назв географічних об’єктів та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об’єктів топоніміки на території Менської міської територіальної громади та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проведене громадське обговорення рішенням 23 сесії Менської міської ради 8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скликання від 26 вересня 2022 року №318 було перейменовано 104 вулиц</w:t>
      </w:r>
      <w:r w:rsidR="009C58AC">
        <w:rPr>
          <w:sz w:val="28"/>
          <w:szCs w:val="28"/>
          <w:lang w:val="uk-UA"/>
        </w:rPr>
        <w:t>ь</w:t>
      </w:r>
      <w:r w:rsidRPr="001C4EDD">
        <w:rPr>
          <w:sz w:val="28"/>
          <w:szCs w:val="28"/>
        </w:rPr>
        <w:t xml:space="preserve"> і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провулків в населених пунктах громади.</w:t>
      </w:r>
    </w:p>
    <w:p w:rsidR="001C4EDD" w:rsidRPr="009C58AC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C4EDD">
        <w:rPr>
          <w:sz w:val="28"/>
          <w:szCs w:val="28"/>
        </w:rPr>
        <w:t>Розвиток освіти</w:t>
      </w:r>
      <w:r w:rsidR="009C58AC">
        <w:rPr>
          <w:sz w:val="28"/>
          <w:szCs w:val="28"/>
          <w:lang w:val="uk-UA"/>
        </w:rPr>
        <w:t>.</w:t>
      </w:r>
    </w:p>
    <w:p w:rsidR="001C4EDD" w:rsidRPr="009C58AC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C4EDD" w:rsidRPr="001C4EDD">
        <w:rPr>
          <w:sz w:val="28"/>
          <w:szCs w:val="28"/>
        </w:rPr>
        <w:t>У гуманітарній сфері протягом 2022 року вживалися дієві заходи щодо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підвищення якості надання освітніх послуг, поліпшення матеріально-технічної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бази закладів освіти громади, створення умов для творчого розвитку особистості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та культурного рівня громадян, прийнято ряд рішень та проводяться заходи щодо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створення спроможної освітньої мережі Менської ТГ.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Слід врахувати, що робота закладів освіти проходить в умовах оголошеного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воєнного стану в Україні, що вносить свої корективи.</w:t>
      </w:r>
      <w:r w:rsidR="009C58AC">
        <w:rPr>
          <w:sz w:val="28"/>
          <w:szCs w:val="28"/>
          <w:lang w:val="uk-UA"/>
        </w:rPr>
        <w:t xml:space="preserve"> </w:t>
      </w:r>
      <w:r w:rsidR="001C4EDD" w:rsidRPr="009C58AC">
        <w:rPr>
          <w:sz w:val="28"/>
          <w:szCs w:val="28"/>
          <w:lang w:val="uk-UA"/>
        </w:rPr>
        <w:t>Станом на 01.01.2023 року в підпорядкуванні відділу освіти Менської</w:t>
      </w:r>
      <w:r w:rsidR="009C58AC">
        <w:rPr>
          <w:sz w:val="28"/>
          <w:szCs w:val="28"/>
          <w:lang w:val="uk-UA"/>
        </w:rPr>
        <w:t xml:space="preserve"> </w:t>
      </w:r>
      <w:r w:rsidR="001C4EDD" w:rsidRPr="009C58AC">
        <w:rPr>
          <w:sz w:val="28"/>
          <w:szCs w:val="28"/>
          <w:lang w:val="uk-UA"/>
        </w:rPr>
        <w:t>міської ради перебуває 35 закладів та установ освіти комунальної форми</w:t>
      </w:r>
      <w:r w:rsidR="009C58AC">
        <w:rPr>
          <w:sz w:val="28"/>
          <w:szCs w:val="28"/>
          <w:lang w:val="uk-UA"/>
        </w:rPr>
        <w:t xml:space="preserve"> </w:t>
      </w:r>
      <w:r w:rsidR="001C4EDD" w:rsidRPr="009C58AC">
        <w:rPr>
          <w:sz w:val="28"/>
          <w:szCs w:val="28"/>
          <w:lang w:val="uk-UA"/>
        </w:rPr>
        <w:t>власності, з них: 15 закладів загальної середньої освіти (в тому числі 9 ЗЗСО І-ІІІ ступенів та 3 філії І-ІІ ступенів, 1 філія І ступеня; 2 гімназії, що надають</w:t>
      </w:r>
      <w:r w:rsidR="009C58AC">
        <w:rPr>
          <w:sz w:val="28"/>
          <w:szCs w:val="28"/>
          <w:lang w:val="uk-UA"/>
        </w:rPr>
        <w:t xml:space="preserve"> </w:t>
      </w:r>
      <w:r w:rsidR="001C4EDD" w:rsidRPr="009C58AC">
        <w:rPr>
          <w:sz w:val="28"/>
          <w:szCs w:val="28"/>
          <w:lang w:val="uk-UA"/>
        </w:rPr>
        <w:t>базову загальну середню освіту), в яких отримують загальну середню освіту</w:t>
      </w:r>
      <w:r w:rsidR="009C58AC">
        <w:rPr>
          <w:sz w:val="28"/>
          <w:szCs w:val="28"/>
          <w:lang w:val="uk-UA"/>
        </w:rPr>
        <w:t xml:space="preserve"> </w:t>
      </w:r>
      <w:r w:rsidR="001C4EDD" w:rsidRPr="009C58AC">
        <w:rPr>
          <w:sz w:val="28"/>
          <w:szCs w:val="28"/>
          <w:lang w:val="uk-UA"/>
        </w:rPr>
        <w:t>2417 учнів (місто-1609, село-808), 14 ЗДО та 1 дошкільний структурний</w:t>
      </w:r>
      <w:r w:rsidR="009C58AC">
        <w:rPr>
          <w:sz w:val="28"/>
          <w:szCs w:val="28"/>
          <w:lang w:val="uk-UA"/>
        </w:rPr>
        <w:t xml:space="preserve"> </w:t>
      </w:r>
      <w:r w:rsidR="001C4EDD" w:rsidRPr="009C58AC">
        <w:rPr>
          <w:sz w:val="28"/>
          <w:szCs w:val="28"/>
          <w:lang w:val="uk-UA"/>
        </w:rPr>
        <w:t xml:space="preserve">підрозділ у складі </w:t>
      </w:r>
      <w:r w:rsidR="001C4EDD" w:rsidRPr="009C58AC">
        <w:rPr>
          <w:sz w:val="28"/>
          <w:szCs w:val="28"/>
          <w:lang w:val="uk-UA"/>
        </w:rPr>
        <w:lastRenderedPageBreak/>
        <w:t>Волосківської гімназії (в яких виховується 525 дітей, з них в</w:t>
      </w:r>
      <w:r w:rsidR="009C58AC">
        <w:rPr>
          <w:sz w:val="28"/>
          <w:szCs w:val="28"/>
          <w:lang w:val="uk-UA"/>
        </w:rPr>
        <w:t xml:space="preserve"> </w:t>
      </w:r>
      <w:r w:rsidR="001C4EDD" w:rsidRPr="009C58AC">
        <w:rPr>
          <w:sz w:val="28"/>
          <w:szCs w:val="28"/>
          <w:lang w:val="uk-UA"/>
        </w:rPr>
        <w:t>місті - 303, селі - 222), 4 заклади позашкільної освіти, Степанівський МНВК та</w:t>
      </w:r>
      <w:r w:rsidR="009C58AC">
        <w:rPr>
          <w:sz w:val="28"/>
          <w:szCs w:val="28"/>
          <w:lang w:val="uk-UA"/>
        </w:rPr>
        <w:t xml:space="preserve"> </w:t>
      </w:r>
      <w:r w:rsidR="001C4EDD" w:rsidRPr="009C58AC">
        <w:rPr>
          <w:sz w:val="28"/>
          <w:szCs w:val="28"/>
          <w:lang w:val="uk-UA"/>
        </w:rPr>
        <w:t>ІРЦ.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1C4EDD" w:rsidRPr="001C4EDD">
        <w:rPr>
          <w:sz w:val="28"/>
          <w:szCs w:val="28"/>
        </w:rPr>
        <w:t>Відділом освіти продовжують вживатися заходи щодо формування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оптимальної освітньої мережі. Завершено процедури ліквідації наступних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закладів освіти: (Осьмаківської та Слобідської ЗОШ); продовжуються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процедури ліквідації Семенівського та Волосківського ЗДО, Максаківської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ЗОШ, Семенівського ЗЗСО І-ІІ ступенів. Величківський ЗЗСО І-ІІ ступенів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реорганізовано в Величківську філію І-ІІ ступенів Опорного закладу Менська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гімназія, Куковицький ЗЗСО І-ІІІ ступенів Менської міської ради реорганізовано</w:t>
      </w:r>
      <w:r w:rsidR="009C58AC">
        <w:rPr>
          <w:sz w:val="28"/>
          <w:szCs w:val="28"/>
          <w:lang w:val="uk-UA"/>
        </w:rPr>
        <w:t xml:space="preserve"> ш</w:t>
      </w:r>
      <w:r w:rsidRPr="001C4EDD">
        <w:rPr>
          <w:sz w:val="28"/>
          <w:szCs w:val="28"/>
        </w:rPr>
        <w:t>ляхом приєднання до Опорного закладу Менська гімназія Менської міської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ради – створено Куковицьку філію І ступеня Опорного закладу Менська гімназія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Менської міської ради.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Діти із ліквідованих закладів освіти переведені на навчання та виховання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до найближчих закладів освіти, забезпечується підвіз учнів та дошкільників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шкільним автобусом до закладів освіти.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1C4EDD" w:rsidRPr="001C4EDD">
        <w:rPr>
          <w:sz w:val="28"/>
          <w:szCs w:val="28"/>
        </w:rPr>
        <w:t>Мережа дитячих садків зазнала певних змін: припинено діяльність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юридичної особи Городищенський заклад дошкільної освіти (дитячий садок)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«Берізка» загального типу Менської міської ради Чернігівської області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(відсутність дітей); завершується процедура ліквідації юридичної особи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Семенівський заклад дошкільної освіти (дитячий садок) «Сонечко» загального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типу Менської міської ради Менського району Чернігівської області; створено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додаткову різновікову групу в Стольненському закладі дошкільної освіти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(дитячий садок) «Сонечко» загального типу Менської міської ради до даного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закладу переведені діти з Семенівського дитячого садка; завершується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процедура ліквідації юридичної особи Волосківський заклад дошкільної освіти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(дитячий садок) «Волошка» загального типу Менської міської ради Чернігівської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області; перепрофільовано (змінено тип) Волосківського ЗЗСО І-ІІ ступенів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Менської міської ради Чернігівської області на Волосківську гімназію Менської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міської ради (з структурним дошкільним підрозділом, в даний дошкільний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підрозділ переведені діти з Волосківського ЗДО «Волошка»).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C4EDD" w:rsidRPr="001C4EDD">
        <w:rPr>
          <w:sz w:val="28"/>
          <w:szCs w:val="28"/>
        </w:rPr>
        <w:t>Заклади (установи) освіти з 01 січня 2022 року переведені на умови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самостійного ведення господарської діяльності та бухгалтерського обліку, які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обслуговує Комунальна установа «Центр з обслуговування освітніх установ та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закладів освіти» Менської міської ради.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Приведено у відповідність до вимог Закону України «Про освіту»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установчі документи закладів освіти.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Дошкільною освітою охоплено 92,3% дітей віком від 3 до 6 років та 65,9%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дітей віком від 1 до 6 років.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1C4EDD" w:rsidRPr="001C4EDD">
        <w:rPr>
          <w:sz w:val="28"/>
          <w:szCs w:val="28"/>
        </w:rPr>
        <w:t>На даний час в усіх населених пунктах де є достатній контингент дітей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дошкільного віку працюють заклади дошкільної освіти.</w:t>
      </w:r>
    </w:p>
    <w:p w:rsidR="001C4EDD" w:rsidRPr="009C58AC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C4EDD">
        <w:rPr>
          <w:sz w:val="28"/>
          <w:szCs w:val="28"/>
        </w:rPr>
        <w:t>В країні триває війна, а тому на всій території посилені вимоги щодо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забезпечення безпечних умов перебування дітей в закладах освіти. В режимі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офлайн можуть працювати лише ті заклади освіти, що мають найпростіші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lastRenderedPageBreak/>
        <w:t>укриття.</w:t>
      </w:r>
      <w:r w:rsidR="009C58AC">
        <w:rPr>
          <w:sz w:val="28"/>
          <w:szCs w:val="28"/>
          <w:lang w:val="uk-UA"/>
        </w:rPr>
        <w:t xml:space="preserve"> </w:t>
      </w:r>
      <w:r w:rsidRPr="009C58AC">
        <w:rPr>
          <w:sz w:val="28"/>
          <w:szCs w:val="28"/>
          <w:lang w:val="uk-UA"/>
        </w:rPr>
        <w:t>Розпорядженням міського голови було створено комісію з перевірки закладів</w:t>
      </w:r>
      <w:r w:rsidR="009C58AC">
        <w:rPr>
          <w:sz w:val="28"/>
          <w:szCs w:val="28"/>
          <w:lang w:val="uk-UA"/>
        </w:rPr>
        <w:t xml:space="preserve"> </w:t>
      </w:r>
      <w:r w:rsidRPr="009C58AC">
        <w:rPr>
          <w:sz w:val="28"/>
          <w:szCs w:val="28"/>
          <w:lang w:val="uk-UA"/>
        </w:rPr>
        <w:t>освіти на предмет наявності найпростіших укриттів, які можуть</w:t>
      </w:r>
      <w:r w:rsidR="009C58AC">
        <w:rPr>
          <w:sz w:val="28"/>
          <w:szCs w:val="28"/>
          <w:lang w:val="uk-UA"/>
        </w:rPr>
        <w:t xml:space="preserve"> </w:t>
      </w:r>
      <w:r w:rsidRPr="009C58AC">
        <w:rPr>
          <w:sz w:val="28"/>
          <w:szCs w:val="28"/>
          <w:lang w:val="uk-UA"/>
        </w:rPr>
        <w:t>використовуватися закладами освіти, складено Акти оцінки об’єкта (будівлі,</w:t>
      </w:r>
      <w:r w:rsidR="009C58AC">
        <w:rPr>
          <w:sz w:val="28"/>
          <w:szCs w:val="28"/>
          <w:lang w:val="uk-UA"/>
        </w:rPr>
        <w:t xml:space="preserve"> </w:t>
      </w:r>
      <w:r w:rsidRPr="009C58AC">
        <w:rPr>
          <w:sz w:val="28"/>
          <w:szCs w:val="28"/>
          <w:lang w:val="uk-UA"/>
        </w:rPr>
        <w:t>споруди, приміщення) щодо можливості його використання для укриття</w:t>
      </w:r>
      <w:r w:rsidR="009C58AC">
        <w:rPr>
          <w:sz w:val="28"/>
          <w:szCs w:val="28"/>
          <w:lang w:val="uk-UA"/>
        </w:rPr>
        <w:t xml:space="preserve"> </w:t>
      </w:r>
      <w:r w:rsidRPr="009C58AC">
        <w:rPr>
          <w:sz w:val="28"/>
          <w:szCs w:val="28"/>
          <w:lang w:val="uk-UA"/>
        </w:rPr>
        <w:t>населення як найпростішого укриття), які погоджені Корюківською РВА.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Наразі відсутнє найпростіше укриття лише в Дягівському ЗЗСО І-ІІІ ступенів.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Всі заклади дошкільної, позашкільної освіти працюють в очному режимі, 2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заклади загальної середньої освіти та 3 філії працюють в очному режимі, решта</w:t>
      </w:r>
      <w:r w:rsidR="009C58AC">
        <w:rPr>
          <w:sz w:val="28"/>
          <w:szCs w:val="28"/>
          <w:lang w:val="uk-UA"/>
        </w:rPr>
        <w:t xml:space="preserve"> - </w:t>
      </w:r>
      <w:r w:rsidRPr="001C4EDD">
        <w:rPr>
          <w:sz w:val="28"/>
          <w:szCs w:val="28"/>
        </w:rPr>
        <w:t>в змішаному.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C4EDD" w:rsidRPr="001C4EDD">
        <w:rPr>
          <w:sz w:val="28"/>
          <w:szCs w:val="28"/>
        </w:rPr>
        <w:t>За сприяння гуманітарного штабу при Менській міській раді найпростіші</w:t>
      </w:r>
      <w:r w:rsidR="009C58AC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укриття забезпечені найпростішими продуктовими наборами з розрахунку на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кожну особу; частково: питною бутильованою водою, ліхтарями (як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альтернативним живленням), теплими ковдрами.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За сприяння ГО «Добрі ініціативи Менщини», в рамках гранту «Безпечне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освітнє середовище Менської громади в умовах війни», заклади освіти громади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отримують обладнання для укриттів.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Проєктну заявку в рамках проєкту ПРООН «ЄС за діалог: Сприяння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трансформації конфліктів на Південному Кавказі та в республіці Молдова»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підготувала громадська організація «ДІМ» спільно з відділом економічного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розвитку та інвестицій. Метою проєкту є створення безпечних умов для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 xml:space="preserve">перебування дітей </w:t>
      </w:r>
      <w:proofErr w:type="gramStart"/>
      <w:r w:rsidRPr="001C4EDD">
        <w:rPr>
          <w:sz w:val="28"/>
          <w:szCs w:val="28"/>
        </w:rPr>
        <w:t>у закладах</w:t>
      </w:r>
      <w:proofErr w:type="gramEnd"/>
      <w:r w:rsidRPr="001C4EDD">
        <w:rPr>
          <w:sz w:val="28"/>
          <w:szCs w:val="28"/>
        </w:rPr>
        <w:t xml:space="preserve"> освіти на випадок повітряної тривоги. Загальна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сума на його реалізацію становить 17527 доларів США. На ці кошти для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найпростіших укриттів освітніх закладів громади закуплено: біотуалети, ємності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для води та сміття, контейнери для зберігання харчових продуктів,</w:t>
      </w:r>
      <w:r w:rsidR="009C58AC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бензогенератори (15 одиниць).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C4EDD" w:rsidRPr="001C4EDD">
        <w:rPr>
          <w:sz w:val="28"/>
          <w:szCs w:val="28"/>
        </w:rPr>
        <w:t>За кошти місцевого бюджету, спонсорів, педагогів, батьківської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громадськості (232 тис. грн.) придбано потужні генератори в Стольненський,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Покровський, Блистівський ЗЗСО І-ІІІ ступенів (в цих же будівлях знаходяться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й Стольненський, Покровський, Блистівський дитячі садки), що надає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можливість безперебійного електро- та теплопостачання закладів в разі перебоїв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з електропостачанням.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Розпорядженням міського голови було створено комісію з обстеження</w:t>
      </w:r>
      <w:r w:rsidR="009A1E1F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закладів освіти на предмет готовності до організації навчання та забезпечення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безпеки учасників освітнього процесу у 2022/2023 навчальному році.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Результатом роботи комісії є підготовка відповідного акту.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В цьому році не маємо фінансової можливості вкладати бюджетні кошти в</w:t>
      </w:r>
      <w:r w:rsidR="009A1E1F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ремонт закладів освіти, проте якщо є допомога від батьків, спонсорів,</w:t>
      </w:r>
      <w:r w:rsidR="009A1E1F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небайдужих до освітянських проблем осіб, іноземних донорів, то радо її</w:t>
      </w:r>
      <w:r w:rsidR="009A1E1F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приймаємо.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1C4EDD" w:rsidRPr="001C4EDD">
        <w:rPr>
          <w:sz w:val="28"/>
          <w:szCs w:val="28"/>
        </w:rPr>
        <w:t>Завершуємо підготовку закладів освіти до роботи в осінньо-зимовий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період. Проводиться закупівля твердого палива, продовжуються процедури</w:t>
      </w:r>
      <w:r w:rsidR="009A1E1F">
        <w:rPr>
          <w:sz w:val="28"/>
          <w:szCs w:val="28"/>
          <w:lang w:val="uk-UA"/>
        </w:rPr>
        <w:t xml:space="preserve"> </w:t>
      </w:r>
      <w:r w:rsidR="009A1E1F">
        <w:rPr>
          <w:sz w:val="28"/>
          <w:szCs w:val="28"/>
        </w:rPr>
        <w:t>уклада</w:t>
      </w:r>
      <w:r w:rsidR="001C4EDD" w:rsidRPr="001C4EDD">
        <w:rPr>
          <w:sz w:val="28"/>
          <w:szCs w:val="28"/>
        </w:rPr>
        <w:t>ння договорів на постачання твердих видів палива, газу.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lastRenderedPageBreak/>
        <w:t>На даний час на 100 відсотків від потреби заклади освіти забезпечені</w:t>
      </w:r>
      <w:r w:rsidR="009A1E1F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вугіллям, забезпеченість закладів дровами становить 70% від потреби,</w:t>
      </w:r>
      <w:r w:rsidR="009A1E1F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торфобрикетом на 43,5%.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1C4EDD" w:rsidRPr="001C4EDD">
        <w:rPr>
          <w:sz w:val="28"/>
          <w:szCs w:val="28"/>
        </w:rPr>
        <w:t>Проводиться повірка газового обладнання (манометри та сигналізатори),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перезарядка вогнегасників.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Для забезпечення безперебійної роботи закладів освіти в осінньо-зимовий</w:t>
      </w:r>
      <w:r w:rsidR="009A1E1F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період 2022-2023 опалювального періоду проведені роботи по ремонту системи</w:t>
      </w:r>
      <w:r w:rsidR="009A1E1F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опалення по наступних закладах освіти: ремонт теплотраси (ремонт вводу в</w:t>
      </w:r>
      <w:r w:rsidR="009A1E1F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котельню) Степанівського МНВК, ремонт котла в Дягівському ЗДО «Веселка»,</w:t>
      </w:r>
      <w:r w:rsidR="009A1E1F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ремонтні роботи в Блистівському ЗЗСО І-ІІІ ст. (роботи з ремонту водогону,</w:t>
      </w:r>
      <w:r w:rsidR="009A1E1F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заміна труби котельні, ремонт котла).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1C4EDD" w:rsidRPr="001C4EDD">
        <w:rPr>
          <w:sz w:val="28"/>
          <w:szCs w:val="28"/>
        </w:rPr>
        <w:t>2022 рік значно знизив фінансові можливості громади в цілому, проте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найнагальніші потреби пов’язані з функціонуванням закладів освіти</w:t>
      </w:r>
      <w:r w:rsidR="009A1E1F">
        <w:rPr>
          <w:sz w:val="28"/>
          <w:szCs w:val="28"/>
          <w:lang w:val="uk-UA"/>
        </w:rPr>
        <w:t xml:space="preserve">, </w:t>
      </w:r>
      <w:r w:rsidR="001C4EDD" w:rsidRPr="001C4EDD">
        <w:rPr>
          <w:sz w:val="28"/>
          <w:szCs w:val="28"/>
        </w:rPr>
        <w:t>вирішувалися. Вчасно виплачена заробітна плата, проводилася оплата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енергоносіїв, теплопостачання, фінансувалося харчування дітей в закладах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загальної середньої та дошкільної освіти, забезпечувався підвіз дітей,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вихованців, педагогів на навчання (роботу) та у зворотньому напрям</w:t>
      </w:r>
      <w:r w:rsidR="009A1E1F">
        <w:rPr>
          <w:sz w:val="28"/>
          <w:szCs w:val="28"/>
          <w:lang w:val="uk-UA"/>
        </w:rPr>
        <w:t>ку</w:t>
      </w:r>
      <w:r w:rsidR="001C4EDD" w:rsidRPr="001C4EDD">
        <w:rPr>
          <w:sz w:val="28"/>
          <w:szCs w:val="28"/>
        </w:rPr>
        <w:t>, закуплено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паливо для роботи котелень та багато іншого.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C4EDD" w:rsidRPr="001C4EDD">
        <w:rPr>
          <w:sz w:val="28"/>
          <w:szCs w:val="28"/>
        </w:rPr>
        <w:t>Проведено ряд робіт, спрямованих на виконання рішення Чернігівського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окружного адміністративного суду за позовом Головного управління Державної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служби України з надзвичайних ситуацій у Чернігівській області до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Макошинського закладу загальної середньої освіти І-ІІІ ступенів, а це – фактична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заборона експлуатації будівель навчальних корпусів №1,2,3 Макошинського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ЗЗСО І-ІІІ ступенів до повного усунення порушень. Встановлено автоматичну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пожежну сигналізацію, оповіщення про пожежу, управління евакуацією людей,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устаткування передавання тривожних сповіщень в приміщеннях на суму 542</w:t>
      </w:r>
      <w:r w:rsidR="009A1E1F">
        <w:rPr>
          <w:sz w:val="28"/>
          <w:szCs w:val="28"/>
        </w:rPr>
        <w:t> </w:t>
      </w:r>
      <w:r w:rsidR="001C4EDD" w:rsidRPr="001C4EDD">
        <w:rPr>
          <w:sz w:val="28"/>
          <w:szCs w:val="28"/>
        </w:rPr>
        <w:t>000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грн., систему блискавкозахисту в приміщеннях на суму 401 712 грн.;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вогнезахисне просочення дерев’яних конструкцій покрівель на суму 89 000 грн.;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поточний ремонт шахтного колодязя та мереж зовнішнього водопостачання з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встановленням пожежного гідранта на суму 62 163, 86 грн. В умовах воєнного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стану в країні, без цільової державної субвенції фінансувати дані види робіт було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надзвичайно складно.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Рік складний, а тому якщо надходила допомога від батьків, спонсорів,</w:t>
      </w:r>
      <w:r w:rsidR="009A1E1F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небайдужих до освітянських проблем осіб, іноземних донорів, то радо її</w:t>
      </w:r>
      <w:r w:rsidR="009A1E1F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приймали, адже працюємо для дітей, для їх розвитку.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C4EDD" w:rsidRPr="001C4EDD">
        <w:rPr>
          <w:sz w:val="28"/>
          <w:szCs w:val="28"/>
        </w:rPr>
        <w:t>Спільно з Дитячим фондом ООН (ЮНІСЕФ) у партнерстві з Асоціацією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міст України (АМУ) Менська міська територіальна громада, яка брала участь в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ініціативі «Громада, дружня до дітей та молоді», отримала близько 50 тис.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доларів США на свої місцеві програми реагування на підтримку сімей з дітьми,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які постраждали від війни. Кошти були використані для надання доступу до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інклюзивної освіти дітей з особливими освітніми потребами, в тому числі з числа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внутрішньо переміщених осіб та дітей, які постійно проживають у громаді, і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внаслідок воєнної агресії та інших об’єктивних чинників опинилися у складних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життєвих обставинах.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 xml:space="preserve">На дані кошти була </w:t>
      </w:r>
      <w:r w:rsidR="001C4EDD" w:rsidRPr="001C4EDD">
        <w:rPr>
          <w:sz w:val="28"/>
          <w:szCs w:val="28"/>
        </w:rPr>
        <w:lastRenderedPageBreak/>
        <w:t>проведена закупівля товарів та послуг, а саме: зроблено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поточний ремонт приміщення Комунальної установи «Менський інклюзивно-ресурсний центр» Менської міської ради, закуплено спеціальне обладнання для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організації роботи інклюзивно-ресурсного центру та придбано дидактичні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матеріали для роботи з дітьми з особливими освітніми потребами на загальну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суму 1 446 722 грн.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C4EDD" w:rsidRPr="001C4EDD">
        <w:rPr>
          <w:sz w:val="28"/>
          <w:szCs w:val="28"/>
        </w:rPr>
        <w:t>В серпні 2022 року відбулася волонтерська акція «БУРчик з облаштування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укриття в м.Мена Чернігівської області», спонсором якого є волонтерський рух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української молоді «Будуємо Україну Разом» (БУР). Участь ГО «Добрі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ініціативи Менщини», за сприяння міської ради, дала можливість залучити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спонсорські кошти з метою облаштування укриття для перебування дітей однієї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з міських шкіл, які спрямовані на придбання матеріалів. До волонтерської акції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долучилася наша молодь, яка бажає зробити своє місто безпечним та кращим,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члени громадської організації, батьки учнів та працівники закладу освіти. В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листопаді 2022 року вдруге відбулася волонтерська акція «БУРчик», на цей раз</w:t>
      </w:r>
      <w:r w:rsidR="009A1E1F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захід спрямований на облаштування вхідного приміщення Інклюзивно-ресурсного центру (кошти спрямовані на придбання будівельних матеріалів).</w:t>
      </w:r>
    </w:p>
    <w:p w:rsidR="007B5500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Галузь культури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Діяльність закладів культури Менської міської ТГ протягом звітного</w:t>
      </w:r>
      <w:r w:rsidR="009A1E1F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періоду була спрямована на реалізацію державної політики в галузі культури і</w:t>
      </w:r>
      <w:r w:rsidR="009A1E1F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мистецтва, реалізацію гарантованого за визначеним Законом України «Про</w:t>
      </w:r>
      <w:r w:rsidR="009A1E1F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культуру» права громадян на культурні послуги.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 xml:space="preserve">Рік, що минув, вніс свої корективи </w:t>
      </w:r>
      <w:proofErr w:type="gramStart"/>
      <w:r w:rsidRPr="001C4EDD">
        <w:rPr>
          <w:sz w:val="28"/>
          <w:szCs w:val="28"/>
        </w:rPr>
        <w:t>в роботу</w:t>
      </w:r>
      <w:proofErr w:type="gramEnd"/>
      <w:r w:rsidRPr="001C4EDD">
        <w:rPr>
          <w:sz w:val="28"/>
          <w:szCs w:val="28"/>
        </w:rPr>
        <w:t xml:space="preserve"> – змінив як напрямки, так і</w:t>
      </w:r>
      <w:r w:rsidR="009A1E1F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форми діяльності.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C4EDD" w:rsidRPr="001C4EDD">
        <w:rPr>
          <w:sz w:val="28"/>
          <w:szCs w:val="28"/>
        </w:rPr>
        <w:t>На сьогоднішній день всі заклади культури працюють в повному форматі</w:t>
      </w:r>
      <w:r w:rsidR="008E4C70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із дещо зміненим графіком роботи. В зв’язку із забороною проведення масових</w:t>
      </w:r>
      <w:r w:rsidR="008E4C70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заходів, деякі з них проводяться в режимі онлайн.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Культурне обслуговування населення громади здійснюють 4 комунальні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заклади культури: КЗ «Менський будинок культури» та 24 сільських філій, КЗ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«Центр культури та дозвілля молоді», КЗ «Менський краєзнавчий музей ім. В.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Покотила», КЗ «Менська публічна бібліотека» та 24 сільські філії. Мережа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закладів культури в громаді відповідає всім нормативним вимогам та забезпечує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надання базового набору культурних послуг. Діяльність установ культури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забезпечують 126 працівників.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За 12 місяців 2022 року в КЗ «Менський будинок культури» та його філіях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було проведено 1354 мистецьких заходів, більшість з яких в режимі онлайн.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Реалізації заходів сприяли 178 клубних формувань та творчих колективів (в тому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числі 9 зразкових та народних), в яких займається 1889 учасників.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Постійно забезпечувалась підтримка самодіяльних творчих колективів,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клубних формувань, їх участь у Міжнародних та Всеукраїнських конкурсах та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фестивалях. Наші колективи стали лауреатами 12 конкурсів, які проводились в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режимі онлайн.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1C4EDD" w:rsidRPr="001C4EDD">
        <w:rPr>
          <w:sz w:val="28"/>
          <w:szCs w:val="28"/>
        </w:rPr>
        <w:t>Для організації та проведення заходів у 2022 році всього використано 73</w:t>
      </w:r>
      <w:r w:rsidR="008E4C70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477 грн.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1C4EDD" w:rsidRPr="001C4EDD">
        <w:rPr>
          <w:sz w:val="28"/>
          <w:szCs w:val="28"/>
        </w:rPr>
        <w:t>Довгоочікуваною подією в культурному та молодіжному житті громади</w:t>
      </w:r>
      <w:r w:rsidR="008E4C70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стало відкриття в КЗ «Центр культури та дозвілля молоді» Молодіжного</w:t>
      </w:r>
      <w:r w:rsidR="008E4C70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простору, завдяки участі в програмі «DOBRE», що дало змогу мешканцям та</w:t>
      </w:r>
      <w:r w:rsidR="008E4C70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гостям міста проводити якісно, різноманітно та цікаво свій вільний час. Разом з</w:t>
      </w:r>
      <w:r w:rsidR="008E4C70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тим підвищилась роль закладу в суспільному житті громади.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Комунальним закладом «Менський краєзнавчий музей ім. В.Ф.Покотила»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обслуговано екскурсіями близько 2000 осіб. Проведено понад 30 екскурсій для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туристів нашої громади та внутрішньо переміщених осіб.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C4EDD">
        <w:rPr>
          <w:sz w:val="28"/>
          <w:szCs w:val="28"/>
        </w:rPr>
        <w:t>До музею</w:t>
      </w:r>
      <w:proofErr w:type="gramEnd"/>
      <w:r w:rsidRPr="001C4EDD">
        <w:rPr>
          <w:sz w:val="28"/>
          <w:szCs w:val="28"/>
        </w:rPr>
        <w:t xml:space="preserve"> надійшло більше 205 експонатів</w:t>
      </w:r>
      <w:r w:rsidR="008E4C70">
        <w:rPr>
          <w:sz w:val="28"/>
          <w:szCs w:val="28"/>
          <w:lang w:val="uk-UA"/>
        </w:rPr>
        <w:t>,</w:t>
      </w:r>
      <w:r w:rsidRPr="001C4EDD">
        <w:rPr>
          <w:sz w:val="28"/>
          <w:szCs w:val="28"/>
        </w:rPr>
        <w:t xml:space="preserve"> які вже пройшли наукову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інвентаризацію та поповнили експозиції. На сьогодні кількість експонатів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складає 19575.</w:t>
      </w:r>
    </w:p>
    <w:p w:rsidR="001C4EDD" w:rsidRPr="001C4EDD" w:rsidRDefault="007B550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C4EDD" w:rsidRPr="001C4EDD">
        <w:rPr>
          <w:sz w:val="28"/>
          <w:szCs w:val="28"/>
        </w:rPr>
        <w:t>КЗ «Менська публічна бібліотека» разом з сільськими філіями в своїй роботі</w:t>
      </w:r>
      <w:r w:rsidR="008E4C70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орієнтувалися на задоволення інформаційно-культурних потреб жителів громади,</w:t>
      </w:r>
      <w:r w:rsidR="008E4C70">
        <w:rPr>
          <w:sz w:val="28"/>
          <w:szCs w:val="28"/>
          <w:lang w:val="uk-UA"/>
        </w:rPr>
        <w:t xml:space="preserve"> </w:t>
      </w:r>
      <w:r w:rsidR="001C4EDD" w:rsidRPr="001C4EDD">
        <w:rPr>
          <w:sz w:val="28"/>
          <w:szCs w:val="28"/>
        </w:rPr>
        <w:t>на потреби і запити основних категорій користувачів.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Послугами бібліотек у звітному періоді скористалися 8505 користувачів, в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т. ч. 2504 дітей. Протягом року до Менської міської бібліотеки зареєструвалося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2005 користувачів, з них 776 дітей. Для задоволення читацьких потреб КЗ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«Менська публічна бібліотека» отримав літературу з обмінного фонду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Чернігівської обласної універсальної наукова бібліотека iм. В.Г. Короленка -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172 примірника на суму 35 662 грн. Також для бібліотек громади було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подаровано 509 примірників книг на суму 22 588 грн.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Протягом року активізувалась робота бібліоняні (11 дітей дошкільного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віку, постійні користувачі) проведено 35 занять з даною категорією дітей.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Пріоритетним напрямком роботи відділу культури залишається збереження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мережі та матеріально-технічної бази закладів культури.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Для проведення опалювального сезону 2022-2023 року для закладів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культури закуплені паливні матеріали: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- дрова для опалення приміщень філій у кількості 136 куб. метрів на суму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142800,00 грн.;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- торфобрикет для Киселівської філії КЗ «Менський будинок культури» у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кількості 12 тон на суму 45600,00 грн.;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Протягом січня – вересня 2022 року відділом культури придбано: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- вогнегасники для філій КЗ «Менська публічна бібліотека» у кількості 10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штук на суму 9492,00 грн.;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- ноутбук для колективу «Домісольки» згідно програми розвитку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колективів на 2022 рік у кількості 1 штука на суму 14999,00 грн.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Протягом звітного періоду проведено та отримано послуг: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- аварійний ремонт покрівлі Ушнянської філії КЗ «Менський будинок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культури» на суму 4882,00 грн.;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- аварійний ремонт покрівлі будівлі КЗ «Менський будинок культури» на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суму 14391,00 грн.;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lastRenderedPageBreak/>
        <w:t>- автомобільні послуги по підвозу шиферу, наданого із місцевого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 xml:space="preserve">матеріального резерву, та послуги вишки </w:t>
      </w:r>
      <w:proofErr w:type="gramStart"/>
      <w:r w:rsidRPr="001C4EDD">
        <w:rPr>
          <w:sz w:val="28"/>
          <w:szCs w:val="28"/>
        </w:rPr>
        <w:t>для ремонту</w:t>
      </w:r>
      <w:proofErr w:type="gramEnd"/>
      <w:r w:rsidRPr="001C4EDD">
        <w:rPr>
          <w:sz w:val="28"/>
          <w:szCs w:val="28"/>
        </w:rPr>
        <w:t xml:space="preserve"> покрівлі Макошинської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та Покровської філій КЗ «Менський будинок культури» на суму 9478,02 грн.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Для поліпшення надання культурно-мистецьких послуг та підвищення їх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якості в населених пунктах громади для КЗ «Менський будинок культури»</w:t>
      </w:r>
      <w:r w:rsidR="008E4C70">
        <w:rPr>
          <w:sz w:val="28"/>
          <w:szCs w:val="28"/>
          <w:lang w:val="uk-UA"/>
        </w:rPr>
        <w:t xml:space="preserve"> </w:t>
      </w:r>
      <w:r w:rsidRPr="001C4EDD">
        <w:rPr>
          <w:sz w:val="28"/>
          <w:szCs w:val="28"/>
        </w:rPr>
        <w:t>рішенням 26 сесії Менської міської ради 8 скликання був переданий легковий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автомобіль.</w:t>
      </w:r>
    </w:p>
    <w:p w:rsidR="008E4C70" w:rsidRDefault="008E4C7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4C70" w:rsidRDefault="008E4C70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Начальник відділу соціально-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>економічного розвитку та</w:t>
      </w:r>
    </w:p>
    <w:p w:rsidR="001C4EDD" w:rsidRPr="001C4EDD" w:rsidRDefault="001C4EDD" w:rsidP="001C4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DD">
        <w:rPr>
          <w:sz w:val="28"/>
          <w:szCs w:val="28"/>
        </w:rPr>
        <w:t xml:space="preserve">інвестицій міської ради </w:t>
      </w:r>
      <w:r w:rsidR="008E4C70">
        <w:rPr>
          <w:sz w:val="28"/>
          <w:szCs w:val="28"/>
        </w:rPr>
        <w:tab/>
      </w:r>
      <w:r w:rsidR="008E4C70">
        <w:rPr>
          <w:sz w:val="28"/>
          <w:szCs w:val="28"/>
        </w:rPr>
        <w:tab/>
      </w:r>
      <w:r w:rsidR="008E4C70">
        <w:rPr>
          <w:sz w:val="28"/>
          <w:szCs w:val="28"/>
        </w:rPr>
        <w:tab/>
      </w:r>
      <w:r w:rsidR="008E4C70">
        <w:rPr>
          <w:sz w:val="28"/>
          <w:szCs w:val="28"/>
        </w:rPr>
        <w:tab/>
      </w:r>
      <w:r w:rsidR="008E4C70">
        <w:rPr>
          <w:sz w:val="28"/>
          <w:szCs w:val="28"/>
        </w:rPr>
        <w:tab/>
      </w:r>
      <w:r w:rsidRPr="001C4EDD">
        <w:rPr>
          <w:sz w:val="28"/>
          <w:szCs w:val="28"/>
        </w:rPr>
        <w:t>Сергій СКОРОХОД</w:t>
      </w:r>
    </w:p>
    <w:p w:rsidR="00055546" w:rsidRPr="001C4EDD" w:rsidRDefault="00055546" w:rsidP="001C4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5546" w:rsidRPr="001C4EDD" w:rsidSect="007A0AF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181" w:rsidRDefault="00634181" w:rsidP="007A0AFA">
      <w:pPr>
        <w:spacing w:after="0" w:line="240" w:lineRule="auto"/>
      </w:pPr>
      <w:r>
        <w:separator/>
      </w:r>
    </w:p>
  </w:endnote>
  <w:endnote w:type="continuationSeparator" w:id="0">
    <w:p w:rsidR="00634181" w:rsidRDefault="00634181" w:rsidP="007A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181" w:rsidRDefault="00634181" w:rsidP="007A0AFA">
      <w:pPr>
        <w:spacing w:after="0" w:line="240" w:lineRule="auto"/>
      </w:pPr>
      <w:r>
        <w:separator/>
      </w:r>
    </w:p>
  </w:footnote>
  <w:footnote w:type="continuationSeparator" w:id="0">
    <w:p w:rsidR="00634181" w:rsidRDefault="00634181" w:rsidP="007A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864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0AFA" w:rsidRPr="007A0AFA" w:rsidRDefault="007A0AFA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</w:t>
        </w:r>
        <w:r w:rsidRPr="007A0AFA">
          <w:rPr>
            <w:rFonts w:ascii="Times New Roman" w:hAnsi="Times New Roman" w:cs="Times New Roman"/>
          </w:rPr>
          <w:fldChar w:fldCharType="begin"/>
        </w:r>
        <w:r w:rsidRPr="007A0AFA">
          <w:rPr>
            <w:rFonts w:ascii="Times New Roman" w:hAnsi="Times New Roman" w:cs="Times New Roman"/>
          </w:rPr>
          <w:instrText>PAGE   \* MERGEFORMAT</w:instrText>
        </w:r>
        <w:r w:rsidRPr="007A0AFA">
          <w:rPr>
            <w:rFonts w:ascii="Times New Roman" w:hAnsi="Times New Roman" w:cs="Times New Roman"/>
          </w:rPr>
          <w:fldChar w:fldCharType="separate"/>
        </w:r>
        <w:r w:rsidRPr="007A0AFA">
          <w:rPr>
            <w:rFonts w:ascii="Times New Roman" w:hAnsi="Times New Roman" w:cs="Times New Roman"/>
            <w:lang w:val="uk-UA"/>
          </w:rPr>
          <w:t>2</w:t>
        </w:r>
        <w:r w:rsidRPr="007A0AFA">
          <w:rPr>
            <w:rFonts w:ascii="Times New Roman" w:hAnsi="Times New Roman" w:cs="Times New Roman"/>
          </w:rPr>
          <w:fldChar w:fldCharType="end"/>
        </w:r>
        <w:r w:rsidRPr="007A0AFA">
          <w:rPr>
            <w:rFonts w:ascii="Times New Roman" w:hAnsi="Times New Roman" w:cs="Times New Roman"/>
            <w:lang w:val="uk-UA"/>
          </w:rPr>
          <w:t xml:space="preserve">     продовження додатка</w:t>
        </w:r>
      </w:p>
    </w:sdtContent>
  </w:sdt>
  <w:p w:rsidR="007A0AFA" w:rsidRPr="007A0AFA" w:rsidRDefault="007A0AFA">
    <w:pPr>
      <w:pStyle w:val="a4"/>
      <w:rPr>
        <w:lang w:val="uk-UA"/>
      </w:rPr>
    </w:pPr>
    <w:r>
      <w:rPr>
        <w:lang w:val="uk-U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DD"/>
    <w:rsid w:val="00055546"/>
    <w:rsid w:val="001C4EDD"/>
    <w:rsid w:val="00634181"/>
    <w:rsid w:val="00652B11"/>
    <w:rsid w:val="007A0AFA"/>
    <w:rsid w:val="007B5500"/>
    <w:rsid w:val="008E4C70"/>
    <w:rsid w:val="0098672D"/>
    <w:rsid w:val="009A1E1F"/>
    <w:rsid w:val="009C58AC"/>
    <w:rsid w:val="00E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C411"/>
  <w15:chartTrackingRefBased/>
  <w15:docId w15:val="{9A1A0DAE-00F1-4C06-A43C-DA5B24E0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A0A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A0AFA"/>
  </w:style>
  <w:style w:type="paragraph" w:styleId="a6">
    <w:name w:val="footer"/>
    <w:basedOn w:val="a"/>
    <w:link w:val="a7"/>
    <w:uiPriority w:val="99"/>
    <w:unhideWhenUsed/>
    <w:rsid w:val="007A0A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A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18124</Words>
  <Characters>10331</Characters>
  <Application>Microsoft Office Word</Application>
  <DocSecurity>0</DocSecurity>
  <Lines>86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Usher</cp:lastModifiedBy>
  <cp:revision>3</cp:revision>
  <cp:lastPrinted>2023-03-10T18:57:00Z</cp:lastPrinted>
  <dcterms:created xsi:type="dcterms:W3CDTF">2023-02-27T13:03:00Z</dcterms:created>
  <dcterms:modified xsi:type="dcterms:W3CDTF">2023-03-10T18:58:00Z</dcterms:modified>
</cp:coreProperties>
</file>