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30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сесії Менської міської ради 8 скликання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28 лютого 2023 </w:t>
      </w:r>
      <w:r>
        <w:rPr>
          <w:bCs/>
          <w:color w:val="000000"/>
          <w:sz w:val="28"/>
          <w:szCs w:val="28"/>
        </w:rPr>
        <w:t xml:space="preserve">року №</w:t>
      </w:r>
      <w:r>
        <w:rPr>
          <w:sz w:val="28"/>
        </w:rPr>
        <w:t xml:space="preserve">64</w:t>
      </w:r>
      <w:r/>
    </w:p>
    <w:p>
      <w:pPr>
        <w:ind w:firstLine="567"/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b/>
          <w:color w:val="000000"/>
          <w:sz w:val="28"/>
          <w:szCs w:val="28"/>
        </w:rPr>
        <w:t xml:space="preserve"> за 2022 рік</w:t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розвитку місцевого самоврядування, налагодження поінформованості мешканців громади про роботу органів місцевого самоврядування та ситуацію в територіальній громаді, розширення сфер впливу на організаційні процеси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населених пунктах громади, активізацію діяльності депутатського корпусу і громадськості, в період з січня по вересень 2022 року реалізовувались заходи визначені програмою</w:t>
      </w:r>
      <w:r>
        <w:rPr>
          <w:color w:val="000000"/>
          <w:sz w:val="28"/>
          <w:szCs w:val="28"/>
        </w:rPr>
        <w:t xml:space="preserve"> підтримки та розвитку місцевого самоврядування на території Менської міської територіальної громади на 2022-2024 роки, яку було </w:t>
      </w:r>
      <w:r>
        <w:rPr>
          <w:sz w:val="28"/>
          <w:szCs w:val="28"/>
        </w:rPr>
        <w:t xml:space="preserve">затверджено рішенням</w:t>
      </w:r>
      <w:r>
        <w:rPr>
          <w:sz w:val="28"/>
          <w:szCs w:val="28"/>
        </w:rPr>
        <w:t xml:space="preserve"> 15 сесії 8-скликання  Менської міської ради від 09.12.2021 року № 798. </w:t>
      </w:r>
      <w:r>
        <w:rPr>
          <w:sz w:val="28"/>
          <w:szCs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Після деокупації Менської громади було проведено прес-конференцію на актуальні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итання, в тому числі як громада жила під час окупації. З метою вивчення громадської думки, працівниками міської ради та залученими експертами, партнерами в громаді проходили опитування присвячені вивченню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потреб вимушено переміщених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та щодо актуальних потреб в адміністративних та психосоціальних послугах, вивчалася думка </w:t>
      </w:r>
      <w:hyperlink r:id="rId16" w:tooltip="https://forms.gle/TfvdwWX5Beo6aUBSA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громадян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та представників бізнес-структур щодо перспективи та пріоритети планів відновлення громад, також серед мешканців громади і працівників міської ради проходило опитування щодо визначення стану комунікації в громаді.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Кожен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мешканець мав можливість подати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ропозиції до плану соціально-економічного розвитку та інвестицій на 2023-2024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  <w:t xml:space="preserve">З початку року під час засідань сесі</w:t>
      </w:r>
      <w:r>
        <w:rPr>
          <w:color w:val="000000"/>
          <w:sz w:val="28"/>
          <w:szCs w:val="28"/>
          <w:highlight w:val="none"/>
        </w:rPr>
        <w:t xml:space="preserve">й ради та виконавчого комітету використовується система електронного голосування. Сесійну залу оснащено мікрофонами, камерами для онлайн-трансляцій, проектором, аудіосистемою, які використовуються для проведення сесій, виконкомів, нарад, конференцій тощо. 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</w:rPr>
        <w:t xml:space="preserve">В 28 вересня 2022 року, розпорядженням міського голови було затверджено персональний склад Менської молодіжної ради, яка активно включилася в роботу</w:t>
      </w:r>
      <w:r>
        <w:rPr>
          <w:color w:val="000000"/>
          <w:sz w:val="28"/>
          <w:szCs w:val="28"/>
        </w:rPr>
        <w:t xml:space="preserve">.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За 2022 рік ві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дбулося 17 пленарних засідань 13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-и сесій Менської міської ради 8 скликання, 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на яких прийнято 512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 рішень. Перед кожним пленарним засіданням проводи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лись засідання постійних комісій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 ради.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</w:rPr>
        <w:t xml:space="preserve">Проведено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22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засідання виконавчого коміте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ту міської ради і прийнято 287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рішень на засіданнях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Протягом 2022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року до міської ради надійшло </w:t>
      </w:r>
      <w:r>
        <w:rPr>
          <w:rFonts w:ascii="Times New Roman" w:hAnsi="Times New Roman" w:cs="Times New Roman" w:eastAsia="Times New Roman" w:eastAsiaTheme="minorHAnsi"/>
          <w:sz w:val="28"/>
          <w:szCs w:val="27"/>
        </w:rPr>
        <w:t xml:space="preserve">6836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документів (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розпорядження, доручення, рішення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, накази, поста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нови, інформації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, звернення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та ін.) та 312 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звернен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ь громадян (27 колективних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/682 підписи/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та 18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через органи влади).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7"/>
        </w:rPr>
        <w:t xml:space="preserve">Аналіз звернень показує, що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питому вагу складали питання соціального захисту (виплати соціальних допомог, нарахування пільг, надання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гуманітарної та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грошової допомоги тощо),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питання аграрної політики і земельних відносин (</w:t>
      </w:r>
      <w:r>
        <w:rPr>
          <w:rFonts w:ascii="Times New Roman" w:hAnsi="Times New Roman" w:cs="Times New Roman" w:eastAsia="Times New Roman" w:eastAsiaTheme="minorHAnsi"/>
          <w:iCs/>
          <w:color w:val="000000"/>
          <w:sz w:val="28"/>
          <w:szCs w:val="28"/>
        </w:rPr>
        <w:t xml:space="preserve">питання землекористування та добросусідських відносин, пов’язаних з цим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), питання діяльності об’єднань громадян, релігії та міжконфесійних відносин.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Протягом 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звітного періоду опрацьовано 51 запит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 на інформацію згідно Закону України  «Про доступ до публічної інформації».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Зареєстров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ано та направлено адресатам 2199</w:t>
      </w:r>
      <w:r>
        <w:rPr>
          <w:rFonts w:ascii="Times New Roman" w:hAnsi="Times New Roman" w:cs="Times New Roman" w:eastAsia="Times New Roman" w:eastAsiaTheme="minorHAnsi"/>
          <w:color w:val="000000"/>
          <w:sz w:val="28"/>
        </w:rPr>
        <w:t xml:space="preserve"> вихідних документів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</w:rPr>
        <w:t xml:space="preserve">Прийнято 440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 розпоряджень міського голови з основної діяльн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ості, з особового складу – 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27"/>
        </w:rPr>
        <w:t xml:space="preserve">Підготовлено 2</w:t>
      </w:r>
      <w:r>
        <w:rPr>
          <w:rFonts w:ascii="Times New Roman" w:hAnsi="Times New Roman" w:cs="Times New Roman" w:eastAsia="Times New Roman" w:eastAsiaTheme="minorHAnsi"/>
          <w:sz w:val="28"/>
          <w:szCs w:val="27"/>
        </w:rPr>
        <w:t xml:space="preserve">2 розпорядження міського голови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щодо нагородження Почесними грамотами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та оголошення подяк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Менської міської ради. 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сього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вручено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266 відзнак.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Всі рішення, протоколи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засідань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, розпорядження міського голови відповідно до Закону України «Про доступ до публічної інформації» оприлюднено на офіційному сайті міської ради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в мережі Інтернет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в установленому порядку.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Протягом 2022 року відбулося </w:t>
      </w: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12 засідань</w:t>
      </w: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 адміністративної коміс</w:t>
      </w: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ії, на засіданнях розглянуто </w:t>
      </w: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16</w:t>
      </w: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 справ.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Працювала комісія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з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питань захисту прав дитини (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13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засідань), комісія по на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данню матеріальної допомоги (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5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засідань), комісії з питань техногенно-екологічної безп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еки і надзвичайних ситуацій (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5 засідань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), координ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аційна рада у справах дітей (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засідання), опікунська рада ( 2 засідання), комісія з питань компле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shd w:val="clear" w:color="FFFFFF" w:fill="FFFFFF"/>
        </w:rPr>
        <w:t xml:space="preserve">ксного визначення ступеня індивідуальних потреб особи, яка потребує надання соціальних послуг ( 13 засідань) та ін.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Старостами видано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7143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довідок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різного характеру, вчинено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1486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нотаріальних дій, здійснено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1810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реєстраційних дій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Менська міська рада є активним членом Асоціації міст України, Асоціації громад, Всеукраїнської асоціації сільських селищних рад та об’єднаних громад, Асоціації “Енергоефективні міста України”.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З метою вивчення практичного застосування перейнятого досвіду, міська рада підписала меморандум про співробіт</w:t>
      </w:r>
      <w:r>
        <w:rPr>
          <w:rFonts w:eastAsiaTheme="minorHAnsi"/>
          <w:color w:val="000000"/>
          <w:sz w:val="28"/>
          <w:szCs w:val="28"/>
          <w:highlight w:val="none"/>
        </w:rPr>
        <w:t xml:space="preserve">ництво із Здолбунівськ</w:t>
      </w:r>
      <w:r>
        <w:rPr>
          <w:rFonts w:eastAsiaTheme="minorHAnsi"/>
          <w:color w:val="000000"/>
          <w:sz w:val="28"/>
          <w:szCs w:val="28"/>
          <w:highlight w:val="none"/>
        </w:rPr>
        <w:t xml:space="preserve">ою громадою Рівненської області. Відбувся візит делегації Здолбунівської громади на чолі з міським головою Владиславом Сухляком до Менської громади, в ході якого обговорено варіанти подальшої співпраці та реалізації спільних проектів. Переважна їх частина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Продовжуються роботи, спрямовані на покращення надання якісних адміністративних послуг, в тому числі в сільській місцевості. В адміністративному центрі громади проводяться роботи з реконструкції приміщення для розміщення там належног</w:t>
      </w:r>
      <w:r>
        <w:rPr>
          <w:rFonts w:eastAsiaTheme="minorHAnsi"/>
          <w:color w:val="000000"/>
          <w:sz w:val="28"/>
          <w:szCs w:val="28"/>
        </w:rPr>
        <w:t xml:space="preserve">о Центру надання адміністративних послуг, в сільських населених пунктах збільшено кількість віддалених робочих місць, шляхом зміни структури і введенням додаткових посад адміністраторів та спеціалістів ЦНАПу, проведено роботи з покращення інтернет-зв’язку.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Всього на реаліз</w:t>
      </w:r>
      <w:r>
        <w:rPr>
          <w:rFonts w:eastAsiaTheme="minorHAnsi"/>
          <w:color w:val="000000"/>
          <w:sz w:val="28"/>
          <w:szCs w:val="28"/>
        </w:rPr>
        <w:t xml:space="preserve">ацію заходів даної Програми, за 2022 рік використано </w:t>
      </w:r>
      <w:r>
        <w:rPr>
          <w:rFonts w:eastAsiaTheme="minorHAnsi"/>
          <w:bCs/>
          <w:sz w:val="28"/>
          <w:szCs w:val="28"/>
        </w:rPr>
        <w:t xml:space="preserve">18779,37 грн.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567" w:right="567" w:bottom="851" w:left="1701" w:header="56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left"/>
      <w:rPr>
        <w:rStyle w:val="922"/>
      </w:rPr>
      <w:framePr w:w="170" w:wrap="around" w:vAnchor="text" w:hAnchor="page" w:x="11169" w:y="1"/>
    </w:pPr>
    <w:r>
      <w:rPr>
        <w:rStyle w:val="922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22"/>
      </w:rPr>
      <w:framePr w:wrap="around" w:vAnchor="text" w:hAnchor="margin" w:xAlign="right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/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lang w:eastAsia="zh-CN"/>
    </w:rPr>
  </w:style>
  <w:style w:type="paragraph" w:styleId="717">
    <w:name w:val="Heading 1"/>
    <w:basedOn w:val="716"/>
    <w:next w:val="716"/>
    <w:link w:val="746"/>
    <w:rPr>
      <w:sz w:val="36"/>
    </w:rPr>
    <w:pPr>
      <w:ind w:left="567"/>
      <w:keepNext/>
      <w:outlineLvl w:val="0"/>
    </w:pPr>
  </w:style>
  <w:style w:type="paragraph" w:styleId="718">
    <w:name w:val="Heading 2"/>
    <w:basedOn w:val="716"/>
    <w:next w:val="716"/>
    <w:link w:val="747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19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0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1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2">
    <w:name w:val="Heading 6"/>
    <w:link w:val="751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3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4">
    <w:name w:val="Heading 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5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rPr>
      <w:sz w:val="24"/>
      <w:szCs w:val="24"/>
      <w:lang w:val="ru-RU" w:eastAsia="ru-RU"/>
    </w:rPr>
  </w:style>
  <w:style w:type="paragraph" w:styleId="756">
    <w:name w:val="Title"/>
    <w:link w:val="75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  <w:lang w:eastAsia="zh-CN"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16"/>
    <w:link w:val="765"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basedOn w:val="716"/>
    <w:link w:val="769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eastAsia="zh-CN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rPr>
      <w:lang w:eastAsia="zh-CN"/>
    </w:rPr>
    <w:pPr>
      <w:spacing w:after="57"/>
    </w:pPr>
  </w:style>
  <w:style w:type="paragraph" w:styleId="90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uiPriority w:val="99"/>
    <w:unhideWhenUsed/>
    <w:rPr>
      <w:lang w:eastAsia="zh-CN"/>
    </w:rPr>
  </w:style>
  <w:style w:type="paragraph" w:styleId="914" w:customStyle="1">
    <w:name w:val="Знак Знак Знак Знак"/>
    <w:basedOn w:val="716"/>
    <w:rPr>
      <w:rFonts w:ascii="Verdana" w:hAnsi="Verdana"/>
      <w:lang w:val="en-US" w:eastAsia="en-US"/>
    </w:rPr>
  </w:style>
  <w:style w:type="paragraph" w:styleId="915">
    <w:name w:val="Balloon Text"/>
    <w:basedOn w:val="716"/>
    <w:semiHidden/>
    <w:rPr>
      <w:rFonts w:ascii="Tahoma" w:hAnsi="Tahoma"/>
      <w:sz w:val="16"/>
      <w:szCs w:val="16"/>
    </w:rPr>
  </w:style>
  <w:style w:type="paragraph" w:styleId="916">
    <w:name w:val="Body Text"/>
    <w:basedOn w:val="716"/>
    <w:pPr>
      <w:spacing w:after="120"/>
    </w:pPr>
  </w:style>
  <w:style w:type="paragraph" w:styleId="917">
    <w:name w:val="Normal (Web)"/>
    <w:basedOn w:val="716"/>
    <w:pPr>
      <w:spacing w:after="100" w:afterAutospacing="1" w:before="100" w:beforeAutospacing="1"/>
    </w:pPr>
  </w:style>
  <w:style w:type="paragraph" w:styleId="918">
    <w:name w:val="Body Text Indent 2"/>
    <w:basedOn w:val="716"/>
    <w:pPr>
      <w:ind w:left="283"/>
      <w:spacing w:lineRule="auto" w:line="480" w:after="120"/>
    </w:pPr>
  </w:style>
  <w:style w:type="paragraph" w:styleId="919">
    <w:name w:val="List Paragraph"/>
    <w:basedOn w:val="716"/>
    <w:rPr>
      <w:rFonts w:eastAsia="Calibri"/>
      <w:lang w:eastAsia="uk-UA"/>
    </w:rPr>
    <w:pPr>
      <w:contextualSpacing w:val="true"/>
      <w:ind w:left="720"/>
    </w:pPr>
  </w:style>
  <w:style w:type="paragraph" w:styleId="920">
    <w:name w:val="Body Text Indent"/>
    <w:basedOn w:val="716"/>
    <w:link w:val="921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1" w:customStyle="1">
    <w:name w:val="Основной текст с отступом Знак"/>
    <w:link w:val="920"/>
    <w:rPr>
      <w:rFonts w:ascii="Calibri" w:hAnsi="Calibri" w:eastAsia="Calibri"/>
      <w:sz w:val="22"/>
      <w:szCs w:val="22"/>
      <w:lang w:val="uk-UA" w:bidi="ar-SA" w:eastAsia="en-US"/>
    </w:rPr>
  </w:style>
  <w:style w:type="character" w:styleId="922">
    <w:name w:val="page number"/>
    <w:basedOn w:val="726"/>
  </w:style>
  <w:style w:type="paragraph" w:styleId="923">
    <w:name w:val="Body Text Indent 3"/>
    <w:basedOn w:val="716"/>
    <w:link w:val="926"/>
    <w:rPr>
      <w:sz w:val="16"/>
      <w:szCs w:val="16"/>
    </w:rPr>
    <w:pPr>
      <w:ind w:left="283"/>
      <w:spacing w:after="120"/>
    </w:pPr>
  </w:style>
  <w:style w:type="character" w:styleId="924" w:customStyle="1">
    <w:name w:val="green ng-binding"/>
    <w:basedOn w:val="726"/>
  </w:style>
  <w:style w:type="character" w:styleId="925">
    <w:name w:val="Strong"/>
    <w:rPr>
      <w:b/>
      <w:bCs/>
    </w:rPr>
  </w:style>
  <w:style w:type="character" w:styleId="926" w:customStyle="1">
    <w:name w:val="Основной текст с отступом 3 Знак"/>
    <w:link w:val="92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forms.gle/TfvdwWX5Beo6aUB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34</cp:revision>
  <dcterms:created xsi:type="dcterms:W3CDTF">2022-10-06T09:25:00Z</dcterms:created>
  <dcterms:modified xsi:type="dcterms:W3CDTF">2023-03-01T08:10:51Z</dcterms:modified>
</cp:coreProperties>
</file>